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6679"/>
        <w:gridCol w:w="1528"/>
        <w:gridCol w:w="1369"/>
      </w:tblGrid>
      <w:tr w:rsidR="009A0BA4" w:rsidRPr="009E3266" w:rsidTr="00DC5209">
        <w:trPr>
          <w:trHeight w:val="300"/>
        </w:trPr>
        <w:tc>
          <w:tcPr>
            <w:tcW w:w="5000" w:type="pct"/>
            <w:gridSpan w:val="3"/>
            <w:noWrap/>
            <w:hideMark/>
          </w:tcPr>
          <w:p w:rsidR="009A0BA4" w:rsidRPr="009E3266" w:rsidRDefault="009A0BA4" w:rsidP="00DC5209">
            <w:pPr>
              <w:pStyle w:val="Style1Tables"/>
              <w:rPr>
                <w:sz w:val="22"/>
                <w:lang w:val="en-US"/>
              </w:rPr>
            </w:pPr>
            <w:r>
              <w:rPr>
                <w:sz w:val="22"/>
                <w:lang w:val="en-US"/>
              </w:rPr>
              <w:t xml:space="preserve">Church Response to PEV in Kenya: What initiatives can be traced to the PEV? </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Initiative</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F</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Direct Response to Post-Election Violence</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17</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41.46</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Contribution to youth recognition and given leadership Positions</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12</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29.27</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Youth are being given opportunities to spread the gospel</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12</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29.27</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Youth leadership is being taken seriously</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2</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4.88</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Youth meetings per year in seminars</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19</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46.34</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Youths are given leadership positions</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10</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24.39</w:t>
            </w:r>
          </w:p>
        </w:tc>
      </w:tr>
      <w:tr w:rsidR="009A0BA4" w:rsidRPr="009E3266" w:rsidTr="00DC5209">
        <w:trPr>
          <w:trHeight w:val="300"/>
        </w:trPr>
        <w:tc>
          <w:tcPr>
            <w:tcW w:w="3487" w:type="pct"/>
            <w:noWrap/>
            <w:hideMark/>
          </w:tcPr>
          <w:p w:rsidR="009A0BA4" w:rsidRPr="00727539" w:rsidRDefault="009A0BA4" w:rsidP="00DC5209">
            <w:pPr>
              <w:pStyle w:val="Style1Tables"/>
              <w:rPr>
                <w:i/>
                <w:sz w:val="22"/>
                <w:lang w:val="en-US"/>
              </w:rPr>
            </w:pPr>
            <w:r w:rsidRPr="00727539">
              <w:rPr>
                <w:i/>
                <w:sz w:val="22"/>
                <w:lang w:val="en-US"/>
              </w:rPr>
              <w:t>Studied the role of the youth in the PEV</w:t>
            </w:r>
          </w:p>
        </w:tc>
        <w:tc>
          <w:tcPr>
            <w:tcW w:w="798" w:type="pct"/>
            <w:noWrap/>
            <w:hideMark/>
          </w:tcPr>
          <w:p w:rsidR="009A0BA4" w:rsidRPr="009E3266" w:rsidRDefault="009A0BA4" w:rsidP="00DC5209">
            <w:pPr>
              <w:pStyle w:val="Style1Tables"/>
              <w:rPr>
                <w:b w:val="0"/>
                <w:sz w:val="22"/>
                <w:lang w:val="en-US"/>
              </w:rPr>
            </w:pPr>
          </w:p>
        </w:tc>
        <w:tc>
          <w:tcPr>
            <w:tcW w:w="715" w:type="pct"/>
            <w:noWrap/>
            <w:hideMark/>
          </w:tcPr>
          <w:p w:rsidR="009A0BA4" w:rsidRPr="009E3266" w:rsidRDefault="009A0BA4" w:rsidP="00DC5209">
            <w:pPr>
              <w:pStyle w:val="Style1Tables"/>
              <w:rPr>
                <w:b w:val="0"/>
                <w:sz w:val="22"/>
                <w:lang w:val="en-US"/>
              </w:rPr>
            </w:pP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Generally taken youth ministry more seriously</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30</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73.17</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Increased the youth budget in recognition of the value of the ministry</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13</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31.71</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Expanded the youth program to include peace building</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13</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31.71</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Actively included young people in leadership of the larger church</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13</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31.71</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positioned youth and children as core in the ministry focus</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22</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53.66</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undertaken leadership training to inform leaders of the value of youth ministry</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14</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34.15</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Adapted an intergenerational ministry approach</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18</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43.90</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Designated particular church ministries/departments to be led by young people</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20</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48.78</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Taken educational, exposure or solidarity tours to areas affected by PEV</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11</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26.83</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Church involved in peace initiatives</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7</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17.07</w:t>
            </w:r>
          </w:p>
        </w:tc>
      </w:tr>
      <w:tr w:rsidR="009A0BA4" w:rsidRPr="009E3266" w:rsidTr="00DC5209">
        <w:trPr>
          <w:trHeight w:val="300"/>
        </w:trPr>
        <w:tc>
          <w:tcPr>
            <w:tcW w:w="3487" w:type="pct"/>
            <w:noWrap/>
            <w:hideMark/>
          </w:tcPr>
          <w:p w:rsidR="009A0BA4" w:rsidRPr="009E3266" w:rsidRDefault="009A0BA4" w:rsidP="00DC5209">
            <w:pPr>
              <w:pStyle w:val="Style1Tables"/>
              <w:rPr>
                <w:b w:val="0"/>
                <w:sz w:val="22"/>
                <w:lang w:val="en-US"/>
              </w:rPr>
            </w:pPr>
            <w:r w:rsidRPr="009E3266">
              <w:rPr>
                <w:b w:val="0"/>
                <w:sz w:val="22"/>
                <w:lang w:val="en-US"/>
              </w:rPr>
              <w:t>The church ministry has been significantly impacted by the PEV</w:t>
            </w:r>
          </w:p>
        </w:tc>
        <w:tc>
          <w:tcPr>
            <w:tcW w:w="798" w:type="pct"/>
            <w:noWrap/>
            <w:hideMark/>
          </w:tcPr>
          <w:p w:rsidR="009A0BA4" w:rsidRPr="009E3266" w:rsidRDefault="009A0BA4" w:rsidP="00DC5209">
            <w:pPr>
              <w:pStyle w:val="Style1Tables"/>
              <w:rPr>
                <w:b w:val="0"/>
                <w:sz w:val="22"/>
                <w:lang w:val="en-US"/>
              </w:rPr>
            </w:pPr>
            <w:r w:rsidRPr="009E3266">
              <w:rPr>
                <w:b w:val="0"/>
                <w:sz w:val="22"/>
                <w:lang w:val="en-US"/>
              </w:rPr>
              <w:t>6</w:t>
            </w:r>
          </w:p>
        </w:tc>
        <w:tc>
          <w:tcPr>
            <w:tcW w:w="715" w:type="pct"/>
            <w:noWrap/>
            <w:hideMark/>
          </w:tcPr>
          <w:p w:rsidR="009A0BA4" w:rsidRPr="009E3266" w:rsidRDefault="009A0BA4" w:rsidP="00DC5209">
            <w:pPr>
              <w:pStyle w:val="Style1Tables"/>
              <w:rPr>
                <w:b w:val="0"/>
                <w:sz w:val="22"/>
                <w:lang w:val="en-US"/>
              </w:rPr>
            </w:pPr>
            <w:r w:rsidRPr="009E3266">
              <w:rPr>
                <w:b w:val="0"/>
                <w:sz w:val="22"/>
                <w:lang w:val="en-US"/>
              </w:rPr>
              <w:t>14.63</w:t>
            </w:r>
          </w:p>
        </w:tc>
      </w:tr>
    </w:tbl>
    <w:p w:rsidR="009A0BA4" w:rsidRPr="009E3266" w:rsidRDefault="009A0BA4" w:rsidP="009A0BA4"/>
    <w:p w:rsidR="009A0BA4" w:rsidRPr="009E3266" w:rsidRDefault="009A0BA4" w:rsidP="009A0BA4">
      <w:r w:rsidRPr="009E3266">
        <w:t xml:space="preserve">From the responses, </w:t>
      </w:r>
      <w:r>
        <w:t xml:space="preserve">significant is that </w:t>
      </w:r>
      <w:r w:rsidRPr="009E3266">
        <w:t xml:space="preserve">no youth leader registered their church as having </w:t>
      </w:r>
      <w:r>
        <w:t xml:space="preserve">intentionally </w:t>
      </w:r>
      <w:r w:rsidRPr="009E3266">
        <w:t xml:space="preserve">taken a deeper study of the role of youth in PEV. This means that the </w:t>
      </w:r>
      <w:r w:rsidRPr="009E3266">
        <w:lastRenderedPageBreak/>
        <w:t xml:space="preserve">church relied on information that it did not subject to further interrogation. </w:t>
      </w:r>
      <w:r>
        <w:t xml:space="preserve">This is significant because tells of a church that is not context sensitive. A church that is not context sensitive misses out on the dynamism that comes from the needs of the people. A church whose ministry and mission do not take into account the needs of the people is likely to be out of touch with the people. It also misses out on critical aspects that would inform and transform its ministry – in this case, the lead actor role of young people in Kenya’s Post Election violence. </w:t>
      </w:r>
    </w:p>
    <w:p w:rsidR="002D36AD" w:rsidRDefault="002D36AD"/>
    <w:sectPr w:rsidR="002D36AD" w:rsidSect="002D3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20"/>
  <w:characterSpacingControl w:val="doNotCompress"/>
  <w:compat/>
  <w:rsids>
    <w:rsidRoot w:val="0018542D"/>
    <w:rsid w:val="0018542D"/>
    <w:rsid w:val="002D36AD"/>
    <w:rsid w:val="007A318B"/>
    <w:rsid w:val="009A0B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42D"/>
    <w:pPr>
      <w:spacing w:after="160" w:line="360" w:lineRule="auto"/>
      <w:jc w:val="both"/>
    </w:pPr>
    <w:rPr>
      <w:rFonts w:ascii="Arial" w:hAnsi="Arial"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2">
    <w:name w:val="ff2"/>
    <w:basedOn w:val="DefaultParagraphFont"/>
    <w:rsid w:val="0018542D"/>
  </w:style>
  <w:style w:type="paragraph" w:customStyle="1" w:styleId="Style1Tables">
    <w:name w:val="Style1 Tables"/>
    <w:basedOn w:val="Normal"/>
    <w:link w:val="Style1TablesChar"/>
    <w:qFormat/>
    <w:rsid w:val="0018542D"/>
    <w:pPr>
      <w:spacing w:before="120" w:after="0"/>
    </w:pPr>
    <w:rPr>
      <w:b/>
      <w:sz w:val="20"/>
    </w:rPr>
  </w:style>
  <w:style w:type="character" w:customStyle="1" w:styleId="Style1TablesChar">
    <w:name w:val="Style1 Tables Char"/>
    <w:basedOn w:val="DefaultParagraphFont"/>
    <w:link w:val="Style1Tables"/>
    <w:rsid w:val="0018542D"/>
    <w:rPr>
      <w:rFonts w:ascii="Arial" w:hAnsi="Arial" w:cs="Arial"/>
      <w:b/>
      <w:sz w:val="20"/>
      <w:szCs w:val="24"/>
      <w:lang w:val="en-GB"/>
    </w:rPr>
  </w:style>
  <w:style w:type="paragraph" w:styleId="Caption">
    <w:name w:val="caption"/>
    <w:basedOn w:val="Normal"/>
    <w:next w:val="Normal"/>
    <w:uiPriority w:val="35"/>
    <w:unhideWhenUsed/>
    <w:qFormat/>
    <w:rsid w:val="0018542D"/>
    <w:pPr>
      <w:spacing w:after="200" w:line="240" w:lineRule="auto"/>
    </w:pPr>
    <w:rPr>
      <w:b/>
      <w:bCs/>
      <w:sz w:val="20"/>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2022-07-25T14:31:00Z</dcterms:created>
  <dcterms:modified xsi:type="dcterms:W3CDTF">2022-07-25T17:19:00Z</dcterms:modified>
</cp:coreProperties>
</file>