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42CA" w:rsidRPr="009B7F46" w:rsidRDefault="004442CA" w:rsidP="004442CA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1</w:t>
      </w:r>
      <w:r w:rsidRPr="009B7F46">
        <w:rPr>
          <w:rFonts w:ascii="Arial" w:hAnsi="Arial" w:cs="Arial"/>
          <w:b/>
          <w:bCs/>
        </w:rPr>
        <w:t>:</w:t>
      </w:r>
      <w:r w:rsidRPr="009B7F46">
        <w:rPr>
          <w:rFonts w:ascii="Arial" w:hAnsi="Arial" w:cs="Arial"/>
        </w:rPr>
        <w:t xml:space="preserve"> T</w:t>
      </w:r>
      <w:bookmarkStart w:id="0" w:name="_Hlk125717437"/>
      <w:r w:rsidRPr="009B7F46">
        <w:rPr>
          <w:rFonts w:ascii="Arial" w:hAnsi="Arial" w:cs="Arial"/>
        </w:rPr>
        <w:t>op two KEGG pathways associated with the most miRNAs. The KEGG pathway ID is shown in brackets.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2"/>
        <w:gridCol w:w="2903"/>
        <w:gridCol w:w="3931"/>
      </w:tblGrid>
      <w:tr w:rsidR="004442CA" w:rsidRPr="009B7F46" w:rsidTr="00C81ED8">
        <w:trPr>
          <w:trHeight w:val="300"/>
        </w:trPr>
        <w:tc>
          <w:tcPr>
            <w:tcW w:w="2235" w:type="dxa"/>
            <w:noWrap/>
            <w:hideMark/>
          </w:tcPr>
          <w:bookmarkEnd w:id="0"/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>Number of miRNAs</w:t>
            </w:r>
          </w:p>
        </w:tc>
        <w:tc>
          <w:tcPr>
            <w:tcW w:w="2976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 xml:space="preserve">KEGG Pathway </w:t>
            </w:r>
          </w:p>
        </w:tc>
        <w:tc>
          <w:tcPr>
            <w:tcW w:w="4031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>Associated miRNAs</w:t>
            </w:r>
          </w:p>
        </w:tc>
      </w:tr>
      <w:tr w:rsidR="004442CA" w:rsidRPr="009B7F46" w:rsidTr="00C81ED8">
        <w:trPr>
          <w:trHeight w:val="2947"/>
        </w:trPr>
        <w:tc>
          <w:tcPr>
            <w:tcW w:w="2235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15</w:t>
            </w:r>
          </w:p>
        </w:tc>
        <w:tc>
          <w:tcPr>
            <w:tcW w:w="2976" w:type="dxa"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Signalling pathways regulating pluripotency of stem cells (hsa04550)</w:t>
            </w:r>
          </w:p>
        </w:tc>
        <w:tc>
          <w:tcPr>
            <w:tcW w:w="4031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hsa-miR-4698, hsa-let-7b-5p, hsa-miR-106b-5p, hsa-miR-20a-5p, hsa-miR-548n, hsa-let-7d-5p, hsa-miR-320a, hsa-miR-186-5p, hsa-miR-320b, hsa-miR-320d, hsa-let-7a-3p, hsa-miR-548d-5p, hsa-let-7f-5p, hsa-let-7i-5p, hsa-let-7f-2-3p</w:t>
            </w:r>
          </w:p>
        </w:tc>
      </w:tr>
      <w:tr w:rsidR="004442CA" w:rsidRPr="009B7F46" w:rsidTr="00C81ED8">
        <w:trPr>
          <w:trHeight w:val="2258"/>
        </w:trPr>
        <w:tc>
          <w:tcPr>
            <w:tcW w:w="2235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11</w:t>
            </w:r>
          </w:p>
        </w:tc>
        <w:tc>
          <w:tcPr>
            <w:tcW w:w="2976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TGF-beta signalling pathway (hsa04350)</w:t>
            </w:r>
          </w:p>
        </w:tc>
        <w:tc>
          <w:tcPr>
            <w:tcW w:w="4031" w:type="dxa"/>
            <w:tcBorders>
              <w:bottom w:val="single" w:sz="4" w:space="0" w:color="auto"/>
            </w:tcBorders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hsa-miR-4698, hsa-miR-106a-5p, hsa-miR-106b-5p, hsa-miR-20a-5p, hsa-miR-519d-3p, hsa-miR-548n, hsa-miR-101-3p, hsa-miR-186-5p, hsa-let-7a-3p. hsa-miR-548d-5p, hsa-let-7f-2-3p</w:t>
            </w:r>
          </w:p>
        </w:tc>
      </w:tr>
    </w:tbl>
    <w:p w:rsidR="004442CA" w:rsidRPr="009B7F46" w:rsidRDefault="004442CA" w:rsidP="004442CA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</w:rPr>
        <w:br w:type="page"/>
      </w:r>
      <w:r w:rsidRPr="009B7F46">
        <w:rPr>
          <w:rFonts w:ascii="Arial" w:hAnsi="Arial" w:cs="Arial"/>
          <w:b/>
          <w:bCs/>
          <w:noProof/>
          <w:lang w:eastAsia="en-ZA"/>
        </w:rPr>
        <w:lastRenderedPageBreak/>
        <w:drawing>
          <wp:anchor distT="0" distB="0" distL="114300" distR="114300" simplePos="0" relativeHeight="251659264" behindDoc="0" locked="0" layoutInCell="1" allowOverlap="1" wp14:anchorId="3CD8255C" wp14:editId="4B1E092C">
            <wp:simplePos x="0" y="0"/>
            <wp:positionH relativeFrom="margin">
              <wp:posOffset>52705</wp:posOffset>
            </wp:positionH>
            <wp:positionV relativeFrom="margin">
              <wp:posOffset>0</wp:posOffset>
            </wp:positionV>
            <wp:extent cx="6464300" cy="7772400"/>
            <wp:effectExtent l="0" t="0" r="0" b="0"/>
            <wp:wrapSquare wrapText="bothSides"/>
            <wp:docPr id="8" name="Picture 8" descr="A screenshot of a computer scree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omputer screen&#10;&#10;Description automatically generated with low confidence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30"/>
                    <a:stretch/>
                  </pic:blipFill>
                  <pic:spPr bwMode="auto">
                    <a:xfrm>
                      <a:off x="0" y="0"/>
                      <a:ext cx="6464300" cy="777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7F46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1</w:t>
      </w:r>
      <w:r w:rsidRPr="009B7F46">
        <w:rPr>
          <w:rFonts w:ascii="Arial" w:hAnsi="Arial" w:cs="Arial"/>
          <w:b/>
          <w:bCs/>
        </w:rPr>
        <w:t xml:space="preserve">: </w:t>
      </w:r>
      <w:bookmarkStart w:id="1" w:name="_Hlk125717713"/>
      <w:r w:rsidRPr="009B7F46">
        <w:rPr>
          <w:rFonts w:ascii="Arial" w:hAnsi="Arial" w:cs="Arial"/>
        </w:rPr>
        <w:t xml:space="preserve">Heatmap of the miRNA versus KEGG pathway analysis. </w:t>
      </w:r>
      <w:bookmarkEnd w:id="1"/>
      <w:r w:rsidRPr="009B7F46">
        <w:rPr>
          <w:rFonts w:ascii="Arial" w:hAnsi="Arial" w:cs="Arial"/>
        </w:rPr>
        <w:t xml:space="preserve">This heatmap shows the various miRNAs that are linked to the differentially expressed lncRNAs and their levels of enrichment in KEGG pathways. p-value&lt;0.05; microT&lt;0.8; Fischer’s Test analysis method with fold discovery rate (FDR) correction. Lower log(p-values) is associated with higher </w:t>
      </w:r>
      <w:r w:rsidRPr="009B7F46">
        <w:rPr>
          <w:rFonts w:ascii="Arial" w:hAnsi="Arial" w:cs="Arial"/>
        </w:rPr>
        <w:lastRenderedPageBreak/>
        <w:t xml:space="preserve">enrichment and a deeper red colour. The miRNAs are shown to be associated with various disease pathways, including PCa which is significantly enriched by the hsa-miR-320 family mainly. The hsa-miR-320 family is linked to TERC lncRNA, which is overexpression in PCa. </w:t>
      </w:r>
    </w:p>
    <w:p w:rsidR="004442CA" w:rsidRPr="009B7F46" w:rsidRDefault="004442CA" w:rsidP="004442CA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2</w:t>
      </w:r>
      <w:r w:rsidRPr="009B7F46">
        <w:rPr>
          <w:rFonts w:ascii="Arial" w:hAnsi="Arial" w:cs="Arial"/>
          <w:b/>
          <w:bCs/>
        </w:rPr>
        <w:t>:</w:t>
      </w:r>
      <w:r w:rsidRPr="009B7F46">
        <w:rPr>
          <w:rFonts w:ascii="Arial" w:hAnsi="Arial" w:cs="Arial"/>
        </w:rPr>
        <w:t xml:space="preserve"> Top </w:t>
      </w:r>
      <w:bookmarkStart w:id="2" w:name="_Hlk125717780"/>
      <w:r w:rsidRPr="009B7F46">
        <w:rPr>
          <w:rFonts w:ascii="Arial" w:hAnsi="Arial" w:cs="Arial"/>
        </w:rPr>
        <w:t xml:space="preserve">two GO categories associated with the most miRNAs in the biological process subcategory, and the miRNA names. </w:t>
      </w:r>
      <w:bookmarkEnd w:id="2"/>
      <w:r w:rsidRPr="009B7F46">
        <w:rPr>
          <w:rFonts w:ascii="Arial" w:hAnsi="Arial" w:cs="Arial"/>
        </w:rPr>
        <w:t>These miRNAs are associated with the differentially expressed lncRNAs in OCa. The GO category IDs are shown in brackets.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923"/>
        <w:gridCol w:w="3897"/>
      </w:tblGrid>
      <w:tr w:rsidR="004442CA" w:rsidRPr="009B7F46" w:rsidTr="00C81ED8">
        <w:trPr>
          <w:trHeight w:val="300"/>
        </w:trPr>
        <w:tc>
          <w:tcPr>
            <w:tcW w:w="2235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>Number of miRNAs</w:t>
            </w:r>
          </w:p>
        </w:tc>
        <w:tc>
          <w:tcPr>
            <w:tcW w:w="2976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>GO Category</w:t>
            </w:r>
          </w:p>
        </w:tc>
        <w:tc>
          <w:tcPr>
            <w:tcW w:w="3969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9B7F46">
              <w:rPr>
                <w:rFonts w:ascii="Arial" w:hAnsi="Arial" w:cs="Arial"/>
                <w:b/>
                <w:bCs/>
              </w:rPr>
              <w:t>Associated miRNAs</w:t>
            </w:r>
          </w:p>
        </w:tc>
      </w:tr>
      <w:tr w:rsidR="004442CA" w:rsidRPr="009B7F46" w:rsidTr="00C81ED8">
        <w:trPr>
          <w:trHeight w:val="5803"/>
        </w:trPr>
        <w:tc>
          <w:tcPr>
            <w:tcW w:w="2235" w:type="dxa"/>
            <w:noWrap/>
            <w:hideMark/>
          </w:tcPr>
          <w:p w:rsidR="004442CA" w:rsidRPr="009B7F46" w:rsidRDefault="004442CA" w:rsidP="00C81ED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30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Biosynthetic process (GO:0009058) and cellular nitrogen compound metabolic process (GO:0034641)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noWrap/>
            <w:hideMark/>
          </w:tcPr>
          <w:p w:rsidR="004442CA" w:rsidRPr="009B7F46" w:rsidRDefault="004442CA" w:rsidP="00C81ED8">
            <w:pPr>
              <w:spacing w:line="360" w:lineRule="auto"/>
              <w:rPr>
                <w:rFonts w:ascii="Arial" w:hAnsi="Arial" w:cs="Arial"/>
              </w:rPr>
            </w:pPr>
            <w:r w:rsidRPr="009B7F46">
              <w:rPr>
                <w:rFonts w:ascii="Arial" w:hAnsi="Arial" w:cs="Arial"/>
              </w:rPr>
              <w:t>hsa-miR-4698, hsa-let-7b-5p, hsa-miR-485-5p, hsa-miR-106a-5p, hsa-miR-106b-5p, hsa-miR-17-5p, hsa-miR-20a-5p, hsa-miR-20b-5p, hsa-miR-519d-3p, hsa-miR-93-5p, hsa-miR-92b-3p, hsa-miR-548n, hsa-miR-143-3p, hsa-miR-196a-5p, hsa-miR-196b-5p, hsa-let-7d-5p, hsa-miR-320a, hsa-miR-101-3p, hsa-miR-125b-2-3p, hsa-miR-92a-3p, hsa-miR-186-5p, hsa-miR-382-5p, hsa-miR-320b, hsa-miR-320d, hsa-let-7a-3p, hsa-miR-548d-5p, hsa-miR-25-3p, hsa-let-7f-5p, hsa-let-7i-5p, hsa-let-7f-2-3p</w:t>
            </w:r>
          </w:p>
        </w:tc>
      </w:tr>
    </w:tbl>
    <w:p w:rsidR="004442CA" w:rsidRPr="009B7F46" w:rsidRDefault="004442CA" w:rsidP="004442CA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  <w:noProof/>
          <w:lang w:eastAsia="en-ZA"/>
        </w:rPr>
        <w:lastRenderedPageBreak/>
        <w:drawing>
          <wp:anchor distT="0" distB="0" distL="114300" distR="114300" simplePos="0" relativeHeight="251660288" behindDoc="0" locked="0" layoutInCell="1" allowOverlap="1" wp14:anchorId="5A52B327" wp14:editId="31AFB4AA">
            <wp:simplePos x="0" y="0"/>
            <wp:positionH relativeFrom="margin">
              <wp:posOffset>35560</wp:posOffset>
            </wp:positionH>
            <wp:positionV relativeFrom="margin">
              <wp:posOffset>-107315</wp:posOffset>
            </wp:positionV>
            <wp:extent cx="5731510" cy="6780530"/>
            <wp:effectExtent l="0" t="0" r="0" b="0"/>
            <wp:wrapSquare wrapText="bothSides"/>
            <wp:docPr id="17" name="Picture 17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Chart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8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B7F46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2</w:t>
      </w:r>
      <w:r w:rsidRPr="009B7F46">
        <w:rPr>
          <w:rFonts w:ascii="Arial" w:hAnsi="Arial" w:cs="Arial"/>
          <w:b/>
          <w:bCs/>
        </w:rPr>
        <w:t>:</w:t>
      </w:r>
      <w:r w:rsidRPr="009B7F46">
        <w:rPr>
          <w:rFonts w:ascii="Arial" w:hAnsi="Arial" w:cs="Arial"/>
        </w:rPr>
        <w:t xml:space="preserve"> </w:t>
      </w:r>
      <w:bookmarkStart w:id="3" w:name="_Hlk125717876"/>
      <w:r w:rsidRPr="009B7F46">
        <w:rPr>
          <w:rFonts w:ascii="Arial" w:hAnsi="Arial" w:cs="Arial"/>
        </w:rPr>
        <w:t xml:space="preserve">Heatmap showing the miRNAs that are associated with the differentially expressed lncRNAs versus the biological process GO subcategory </w:t>
      </w:r>
      <w:bookmarkEnd w:id="3"/>
      <w:r w:rsidRPr="009B7F46">
        <w:rPr>
          <w:rFonts w:ascii="Arial" w:hAnsi="Arial" w:cs="Arial"/>
        </w:rPr>
        <w:t>(generated by DIANA-miRPath v3.0). p-value&lt;0.05; microT&lt;0.8; Fischer’s Test analysis method with FDR correction. The intensity of the red colour indicates higher enrichment.</w:t>
      </w:r>
    </w:p>
    <w:p w:rsidR="00EC6C80" w:rsidRDefault="00EC6C80" w:rsidP="00EC6C80">
      <w:r w:rsidRPr="009B7F46">
        <w:rPr>
          <w:rFonts w:ascii="Arial" w:hAnsi="Arial" w:cs="Arial"/>
          <w:noProof/>
          <w:lang w:eastAsia="en-ZA"/>
        </w:rPr>
        <w:lastRenderedPageBreak/>
        <w:drawing>
          <wp:anchor distT="0" distB="0" distL="114300" distR="114300" simplePos="0" relativeHeight="251662336" behindDoc="0" locked="0" layoutInCell="1" allowOverlap="1" wp14:anchorId="43188B5C" wp14:editId="1FA7105B">
            <wp:simplePos x="0" y="0"/>
            <wp:positionH relativeFrom="margin">
              <wp:posOffset>995680</wp:posOffset>
            </wp:positionH>
            <wp:positionV relativeFrom="margin">
              <wp:posOffset>0</wp:posOffset>
            </wp:positionV>
            <wp:extent cx="3909695" cy="7820025"/>
            <wp:effectExtent l="0" t="0" r="0" b="9525"/>
            <wp:wrapSquare wrapText="bothSides"/>
            <wp:docPr id="21" name="Picture 21" descr="A picture containing text, diagram, screenshot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diagram, screenshot, design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95"/>
                    <a:stretch/>
                  </pic:blipFill>
                  <pic:spPr bwMode="auto">
                    <a:xfrm>
                      <a:off x="0" y="0"/>
                      <a:ext cx="3909695" cy="7820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  <w:bookmarkStart w:id="4" w:name="_Hlk128057192"/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</w:p>
    <w:p w:rsidR="00EC6C80" w:rsidRPr="009B7F46" w:rsidRDefault="00EC6C80" w:rsidP="00EC6C80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EC6C80" w:rsidRPr="009B7F46" w:rsidRDefault="00EC6C80" w:rsidP="00EC6C80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3</w:t>
      </w:r>
      <w:r w:rsidRPr="009B7F46">
        <w:rPr>
          <w:rFonts w:ascii="Arial" w:hAnsi="Arial" w:cs="Arial"/>
          <w:b/>
          <w:bCs/>
        </w:rPr>
        <w:t>:</w:t>
      </w:r>
      <w:r w:rsidRPr="009B7F46">
        <w:rPr>
          <w:rFonts w:ascii="Arial" w:hAnsi="Arial" w:cs="Arial"/>
        </w:rPr>
        <w:t xml:space="preserve"> Heatmap of the miRNA versus the molecular function GO subcategory (generated by DIANA-miRPath v3.0). p-value&lt;0.05; microT&lt;0.8; Fischer’s Test analysis method with FDR correction.</w:t>
      </w:r>
    </w:p>
    <w:p w:rsidR="00EC6C80" w:rsidRPr="009B7F46" w:rsidRDefault="00EC6C80" w:rsidP="00EC6C80">
      <w:pPr>
        <w:spacing w:after="200" w:line="276" w:lineRule="auto"/>
        <w:rPr>
          <w:rFonts w:ascii="Arial" w:hAnsi="Arial" w:cs="Arial"/>
        </w:rPr>
      </w:pPr>
      <w:r w:rsidRPr="009B7F46">
        <w:rPr>
          <w:rFonts w:ascii="Arial" w:hAnsi="Arial" w:cs="Arial"/>
          <w:noProof/>
          <w:lang w:eastAsia="en-ZA"/>
        </w:rPr>
        <w:lastRenderedPageBreak/>
        <w:drawing>
          <wp:anchor distT="0" distB="0" distL="114300" distR="114300" simplePos="0" relativeHeight="251663360" behindDoc="0" locked="0" layoutInCell="1" allowOverlap="1" wp14:anchorId="665E2202" wp14:editId="444BA176">
            <wp:simplePos x="0" y="0"/>
            <wp:positionH relativeFrom="margin">
              <wp:posOffset>1091565</wp:posOffset>
            </wp:positionH>
            <wp:positionV relativeFrom="margin">
              <wp:posOffset>0</wp:posOffset>
            </wp:positionV>
            <wp:extent cx="4230370" cy="7983855"/>
            <wp:effectExtent l="0" t="0" r="0" b="0"/>
            <wp:wrapSquare wrapText="bothSides"/>
            <wp:docPr id="18" name="Picture 18" descr="A picture containing text, diagram, screenshot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diagram, screenshot, design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43"/>
                    <a:stretch/>
                  </pic:blipFill>
                  <pic:spPr bwMode="auto">
                    <a:xfrm>
                      <a:off x="0" y="0"/>
                      <a:ext cx="4230370" cy="7983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after="200" w:line="360" w:lineRule="auto"/>
        <w:jc w:val="both"/>
        <w:rPr>
          <w:rFonts w:ascii="Arial" w:hAnsi="Arial" w:cs="Arial"/>
        </w:rPr>
      </w:pPr>
    </w:p>
    <w:p w:rsidR="00EC6C80" w:rsidRPr="009B7F46" w:rsidRDefault="00EC6C80" w:rsidP="00EC6C80">
      <w:pPr>
        <w:spacing w:line="360" w:lineRule="auto"/>
        <w:jc w:val="both"/>
        <w:rPr>
          <w:rFonts w:ascii="Arial" w:hAnsi="Arial" w:cs="Arial"/>
        </w:rPr>
      </w:pPr>
      <w:r w:rsidRPr="009B7F46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4</w:t>
      </w:r>
      <w:r w:rsidRPr="009B7F46">
        <w:rPr>
          <w:rFonts w:ascii="Arial" w:hAnsi="Arial" w:cs="Arial"/>
        </w:rPr>
        <w:t>: Heatmap of the miRNA versus the cellular component GO subcategory generated by DIANA-miRPath v3.0. p-value&lt;0.05; microT&lt;0.8; Fischer’s Test analysis method with FDR correction.</w:t>
      </w:r>
      <w:bookmarkEnd w:id="4"/>
    </w:p>
    <w:sectPr w:rsidR="00EC6C80" w:rsidRPr="009B7F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3MDIyNTU1MjY3NTFQ0lEKTi0uzszPAykwrAUAcayXvywAAAA="/>
  </w:docVars>
  <w:rsids>
    <w:rsidRoot w:val="004442CA"/>
    <w:rsid w:val="00261587"/>
    <w:rsid w:val="004442CA"/>
    <w:rsid w:val="00CE3A5B"/>
    <w:rsid w:val="00EC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B29AE6"/>
  <w15:chartTrackingRefBased/>
  <w15:docId w15:val="{F12A8CF7-112B-4AED-9FA3-63AA295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2CA"/>
    <w:pPr>
      <w:spacing w:after="160" w:line="259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2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42C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44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MP Mbeje</dc:creator>
  <cp:keywords/>
  <dc:description/>
  <cp:lastModifiedBy>Miss. MP Mbeje</cp:lastModifiedBy>
  <cp:revision>2</cp:revision>
  <dcterms:created xsi:type="dcterms:W3CDTF">2023-06-08T12:50:00Z</dcterms:created>
  <dcterms:modified xsi:type="dcterms:W3CDTF">2023-06-08T12:59:00Z</dcterms:modified>
</cp:coreProperties>
</file>