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FF9" w:rsidRDefault="00EE336B">
      <w:r>
        <w:rPr>
          <w:rFonts w:ascii="Arial" w:eastAsia="Arial" w:hAnsi="Arial" w:cs="Arial"/>
          <w:b/>
          <w:color w:val="000000"/>
          <w:sz w:val="28"/>
        </w:rPr>
        <w:t xml:space="preserve">Composite </w:t>
      </w:r>
      <w:r w:rsidR="0062661E">
        <w:rPr>
          <w:rFonts w:ascii="Arial" w:eastAsia="Arial" w:hAnsi="Arial" w:cs="Arial"/>
          <w:b/>
          <w:color w:val="000000"/>
          <w:sz w:val="28"/>
        </w:rPr>
        <w:t>Reliability</w:t>
      </w:r>
      <w:r w:rsidR="0062661E">
        <w:rPr>
          <w:rFonts w:ascii="Arial" w:eastAsia="Arial" w:hAnsi="Arial" w:cs="Arial"/>
          <w:b/>
          <w:color w:val="000000"/>
          <w:sz w:val="28"/>
        </w:rPr>
        <w:cr/>
        <w:t>Scale: Active engagement in curriculum development processes</w:t>
      </w:r>
      <w:r w:rsidR="0062661E">
        <w:rPr>
          <w:rFonts w:ascii="Arial" w:eastAsia="Arial" w:hAnsi="Arial" w:cs="Arial"/>
          <w:b/>
          <w:color w:val="000000"/>
          <w:sz w:val="28"/>
        </w:rPr>
        <w:cr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"/>
        <w:gridCol w:w="663"/>
        <w:gridCol w:w="408"/>
        <w:gridCol w:w="629"/>
        <w:gridCol w:w="323"/>
        <w:gridCol w:w="952"/>
      </w:tblGrid>
      <w:tr w:rsidR="00AB3F42" w:rsidTr="00AB3F42">
        <w:tc>
          <w:tcPr>
            <w:tcW w:w="3672" w:type="dxa"/>
            <w:gridSpan w:val="6"/>
            <w:shd w:val="clear" w:color="auto" w:fill="FFFFFF"/>
            <w:vAlign w:val="center"/>
          </w:tcPr>
          <w:p w:rsidR="00532FF9" w:rsidRDefault="0062661E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Case Processing Summary</w:t>
            </w:r>
          </w:p>
        </w:tc>
      </w:tr>
      <w:tr w:rsidR="00AB3F42" w:rsidTr="00AB3F42">
        <w:tc>
          <w:tcPr>
            <w:tcW w:w="1768" w:type="dxa"/>
            <w:gridSpan w:val="3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32FF9" w:rsidRDefault="00532FF9">
            <w:pPr>
              <w:spacing w:before="5" w:after="5"/>
              <w:ind w:left="30" w:right="40"/>
            </w:pPr>
          </w:p>
        </w:tc>
        <w:tc>
          <w:tcPr>
            <w:tcW w:w="952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%</w:t>
            </w:r>
          </w:p>
        </w:tc>
      </w:tr>
      <w:tr w:rsidR="00532FF9">
        <w:tc>
          <w:tcPr>
            <w:tcW w:w="697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Cases</w:t>
            </w:r>
          </w:p>
        </w:tc>
        <w:tc>
          <w:tcPr>
            <w:tcW w:w="1071" w:type="dxa"/>
            <w:gridSpan w:val="2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952" w:type="dxa"/>
            <w:gridSpan w:val="2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73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89.0</w:t>
            </w:r>
          </w:p>
        </w:tc>
      </w:tr>
      <w:tr w:rsidR="00532FF9">
        <w:tc>
          <w:tcPr>
            <w:tcW w:w="697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532FF9" w:rsidRDefault="00532FF9"/>
        </w:tc>
        <w:tc>
          <w:tcPr>
            <w:tcW w:w="1071" w:type="dxa"/>
            <w:gridSpan w:val="2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Excluded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952" w:type="dxa"/>
            <w:gridSpan w:val="2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11.0</w:t>
            </w:r>
          </w:p>
        </w:tc>
      </w:tr>
      <w:tr w:rsidR="00532FF9">
        <w:tc>
          <w:tcPr>
            <w:tcW w:w="697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532FF9" w:rsidRDefault="00532FF9"/>
        </w:tc>
        <w:tc>
          <w:tcPr>
            <w:tcW w:w="1071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52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AB3F42" w:rsidTr="00AB3F42">
        <w:tc>
          <w:tcPr>
            <w:tcW w:w="3672" w:type="dxa"/>
            <w:gridSpan w:val="6"/>
            <w:shd w:val="clear" w:color="auto" w:fill="FFFFFF"/>
          </w:tcPr>
          <w:p w:rsidR="00532FF9" w:rsidRDefault="0062661E">
            <w:r>
              <w:rPr>
                <w:rFonts w:ascii="Arial" w:eastAsia="Arial" w:hAnsi="Arial" w:cs="Arial"/>
                <w:color w:val="000000"/>
                <w:sz w:val="20"/>
              </w:rPr>
              <w:t>a. Listwise deletion based on all variables in the procedure.</w:t>
            </w:r>
          </w:p>
        </w:tc>
      </w:tr>
      <w:tr w:rsidR="00AB3F42" w:rsidTr="00AB3F42">
        <w:trPr>
          <w:gridAfter w:val="2"/>
          <w:wAfter w:w="1275" w:type="dxa"/>
        </w:trPr>
        <w:tc>
          <w:tcPr>
            <w:tcW w:w="2397" w:type="dxa"/>
            <w:gridSpan w:val="4"/>
            <w:shd w:val="clear" w:color="auto" w:fill="FFFFFF"/>
            <w:vAlign w:val="center"/>
          </w:tcPr>
          <w:p w:rsidR="00532FF9" w:rsidRDefault="0062661E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Reliability Statistics</w:t>
            </w:r>
          </w:p>
        </w:tc>
      </w:tr>
      <w:tr w:rsidR="00532FF9">
        <w:trPr>
          <w:gridAfter w:val="2"/>
          <w:wAfter w:w="1275" w:type="dxa"/>
        </w:trPr>
        <w:tc>
          <w:tcPr>
            <w:tcW w:w="1360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Cronbach's Alpha</w:t>
            </w:r>
          </w:p>
        </w:tc>
        <w:tc>
          <w:tcPr>
            <w:tcW w:w="1037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 of Items</w:t>
            </w:r>
          </w:p>
        </w:tc>
        <w:bookmarkStart w:id="0" w:name="_GoBack"/>
        <w:bookmarkEnd w:id="0"/>
      </w:tr>
      <w:tr w:rsidR="00532FF9">
        <w:trPr>
          <w:gridAfter w:val="2"/>
          <w:wAfter w:w="1275" w:type="dxa"/>
        </w:trPr>
        <w:tc>
          <w:tcPr>
            <w:tcW w:w="1360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.94</w:t>
            </w:r>
            <w:r w:rsidR="00F32362"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1037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F32362"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</w:tr>
    </w:tbl>
    <w:p w:rsidR="00532FF9" w:rsidRDefault="00532FF9"/>
    <w:tbl>
      <w:tblPr>
        <w:tblW w:w="10591" w:type="dxa"/>
        <w:tblInd w:w="108" w:type="dxa"/>
        <w:tblLook w:val="04A0" w:firstRow="1" w:lastRow="0" w:firstColumn="1" w:lastColumn="0" w:noHBand="0" w:noVBand="1"/>
      </w:tblPr>
      <w:tblGrid>
        <w:gridCol w:w="1621"/>
        <w:gridCol w:w="1259"/>
        <w:gridCol w:w="348"/>
        <w:gridCol w:w="612"/>
        <w:gridCol w:w="989"/>
        <w:gridCol w:w="2350"/>
        <w:gridCol w:w="1472"/>
        <w:gridCol w:w="980"/>
        <w:gridCol w:w="960"/>
      </w:tblGrid>
      <w:tr w:rsidR="00F32362" w:rsidRPr="00F32362" w:rsidTr="00F32362">
        <w:trPr>
          <w:gridAfter w:val="5"/>
          <w:wAfter w:w="6751" w:type="dxa"/>
          <w:trHeight w:val="960"/>
        </w:trPr>
        <w:tc>
          <w:tcPr>
            <w:tcW w:w="288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F32362" w:rsidRPr="00F32362" w:rsidRDefault="00F32362" w:rsidP="00F323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3236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Composite Reliability, CR</w:t>
            </w:r>
          </w:p>
        </w:tc>
        <w:tc>
          <w:tcPr>
            <w:tcW w:w="96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center"/>
            <w:hideMark/>
          </w:tcPr>
          <w:p w:rsidR="00F32362" w:rsidRPr="00F32362" w:rsidRDefault="00F32362" w:rsidP="00F323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3236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0.937 </w:t>
            </w:r>
          </w:p>
        </w:tc>
      </w:tr>
      <w:tr w:rsidR="00F32362" w:rsidRPr="00F32362" w:rsidTr="00F32362">
        <w:trPr>
          <w:gridAfter w:val="5"/>
          <w:wAfter w:w="6751" w:type="dxa"/>
          <w:trHeight w:val="828"/>
        </w:trPr>
        <w:tc>
          <w:tcPr>
            <w:tcW w:w="28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32362" w:rsidRPr="00F32362" w:rsidRDefault="00F32362" w:rsidP="00F323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3236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Average Variance Extracted, AVE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F32362" w:rsidRPr="00F32362" w:rsidRDefault="00F32362" w:rsidP="00F323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3236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0.537 </w:t>
            </w:r>
          </w:p>
        </w:tc>
      </w:tr>
      <w:tr w:rsidR="00F32362" w:rsidRPr="00F32362" w:rsidTr="00F32362">
        <w:trPr>
          <w:trHeight w:val="360"/>
        </w:trPr>
        <w:tc>
          <w:tcPr>
            <w:tcW w:w="8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FF6600"/>
                <w:sz w:val="24"/>
                <w:szCs w:val="24"/>
              </w:rPr>
            </w:pPr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A composite reliability of </w:t>
            </w:r>
            <w:r w:rsidRPr="00AB3F42">
              <w:rPr>
                <w:rFonts w:ascii="Arial" w:eastAsia="PMingLiU" w:hAnsi="Arial" w:cs="Arial"/>
                <w:b/>
                <w:bCs/>
                <w:color w:val="FF0000"/>
                <w:sz w:val="24"/>
                <w:szCs w:val="24"/>
              </w:rPr>
              <w:t>0.70</w:t>
            </w:r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is recommended</w:t>
            </w:r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>( Hair,1997) ,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362" w:rsidRPr="00F32362" w:rsidTr="00F32362">
        <w:trPr>
          <w:trHeight w:val="348"/>
        </w:trPr>
        <w:tc>
          <w:tcPr>
            <w:tcW w:w="9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4"/>
                <w:szCs w:val="24"/>
              </w:rPr>
            </w:pPr>
            <w:proofErr w:type="spellStart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>Fornell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and </w:t>
            </w:r>
            <w:proofErr w:type="spellStart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>Larcker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(1981) recommended a CR value of </w:t>
            </w:r>
            <w:r w:rsidRPr="00AB3F42">
              <w:rPr>
                <w:rFonts w:ascii="Arial" w:eastAsia="PMingLiU" w:hAnsi="Arial" w:cs="Arial"/>
                <w:b/>
                <w:bCs/>
                <w:color w:val="FF0000"/>
                <w:sz w:val="24"/>
                <w:szCs w:val="24"/>
              </w:rPr>
              <w:t>0.60</w:t>
            </w:r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or more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4"/>
                <w:szCs w:val="24"/>
              </w:rPr>
            </w:pPr>
          </w:p>
        </w:tc>
      </w:tr>
      <w:tr w:rsidR="00F32362" w:rsidRPr="00F32362" w:rsidTr="00F32362">
        <w:trPr>
          <w:trHeight w:val="124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362" w:rsidRPr="00F32362" w:rsidTr="00F32362">
        <w:trPr>
          <w:trHeight w:val="348"/>
        </w:trPr>
        <w:tc>
          <w:tcPr>
            <w:tcW w:w="8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>Fornell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>Larcker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 xml:space="preserve">(1981) recommended an AVE greater than </w:t>
            </w:r>
            <w:r w:rsidRPr="00AB3F42">
              <w:rPr>
                <w:rFonts w:ascii="Arial" w:eastAsia="PMingLiU" w:hAnsi="Arial" w:cs="Arial"/>
                <w:b/>
                <w:bCs/>
                <w:color w:val="FF0000"/>
                <w:sz w:val="24"/>
                <w:szCs w:val="24"/>
              </w:rPr>
              <w:t>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2362" w:rsidRDefault="00F32362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:rsidR="00F32362" w:rsidRDefault="00F32362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:rsidR="00532FF9" w:rsidRDefault="0062661E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Scale: Active engagement in curriculum development processes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"/>
        <w:gridCol w:w="1071"/>
        <w:gridCol w:w="952"/>
        <w:gridCol w:w="952"/>
      </w:tblGrid>
      <w:tr w:rsidR="00AB3F42" w:rsidTr="00AB3F42">
        <w:tc>
          <w:tcPr>
            <w:tcW w:w="3672" w:type="dxa"/>
            <w:gridSpan w:val="4"/>
            <w:shd w:val="clear" w:color="auto" w:fill="FFFFFF"/>
            <w:vAlign w:val="center"/>
          </w:tcPr>
          <w:p w:rsidR="00532FF9" w:rsidRDefault="0062661E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Case Processing Summary</w:t>
            </w:r>
          </w:p>
        </w:tc>
      </w:tr>
      <w:tr w:rsidR="00AB3F42" w:rsidTr="00AB3F42">
        <w:tc>
          <w:tcPr>
            <w:tcW w:w="1768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32FF9" w:rsidRDefault="00532FF9">
            <w:pPr>
              <w:spacing w:before="5" w:after="5"/>
              <w:ind w:left="30" w:right="40"/>
            </w:pP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%</w:t>
            </w:r>
          </w:p>
        </w:tc>
      </w:tr>
      <w:tr w:rsidR="00532FF9">
        <w:tc>
          <w:tcPr>
            <w:tcW w:w="697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Cases</w:t>
            </w:r>
          </w:p>
        </w:tc>
        <w:tc>
          <w:tcPr>
            <w:tcW w:w="107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</w:tr>
      <w:tr w:rsidR="00532FF9">
        <w:tc>
          <w:tcPr>
            <w:tcW w:w="697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532FF9" w:rsidRDefault="00532FF9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Excluded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532FF9">
        <w:tc>
          <w:tcPr>
            <w:tcW w:w="697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532FF9" w:rsidRDefault="00532FF9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AB3F42" w:rsidTr="00AB3F42">
        <w:tc>
          <w:tcPr>
            <w:tcW w:w="3672" w:type="dxa"/>
            <w:gridSpan w:val="4"/>
            <w:shd w:val="clear" w:color="auto" w:fill="FFFFFF"/>
          </w:tcPr>
          <w:p w:rsidR="00532FF9" w:rsidRDefault="0062661E">
            <w:r>
              <w:rPr>
                <w:rFonts w:ascii="Arial" w:eastAsia="Arial" w:hAnsi="Arial" w:cs="Arial"/>
                <w:color w:val="000000"/>
                <w:sz w:val="20"/>
              </w:rPr>
              <w:t>a. Listwise deletion based on all variables in the procedure.</w:t>
            </w:r>
          </w:p>
        </w:tc>
      </w:tr>
    </w:tbl>
    <w:p w:rsidR="00532FF9" w:rsidRDefault="00532FF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0"/>
        <w:gridCol w:w="1037"/>
      </w:tblGrid>
      <w:tr w:rsidR="00AB3F42" w:rsidTr="00AB3F42">
        <w:tc>
          <w:tcPr>
            <w:tcW w:w="2397" w:type="dxa"/>
            <w:gridSpan w:val="2"/>
            <w:shd w:val="clear" w:color="auto" w:fill="FFFFFF"/>
            <w:vAlign w:val="center"/>
          </w:tcPr>
          <w:p w:rsidR="00532FF9" w:rsidRDefault="0062661E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Reliability Statistics</w:t>
            </w:r>
          </w:p>
        </w:tc>
      </w:tr>
      <w:tr w:rsidR="00532FF9"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Cronbach's Alpha</w:t>
            </w:r>
          </w:p>
        </w:tc>
        <w:tc>
          <w:tcPr>
            <w:tcW w:w="1037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 of Items</w:t>
            </w:r>
          </w:p>
        </w:tc>
      </w:tr>
      <w:tr w:rsidR="00532FF9"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.923</w:t>
            </w:r>
          </w:p>
        </w:tc>
        <w:tc>
          <w:tcPr>
            <w:tcW w:w="1037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</w:tr>
    </w:tbl>
    <w:p w:rsidR="00532FF9" w:rsidRDefault="00532FF9"/>
    <w:tbl>
      <w:tblPr>
        <w:tblW w:w="10591" w:type="dxa"/>
        <w:tblInd w:w="108" w:type="dxa"/>
        <w:tblLook w:val="04A0" w:firstRow="1" w:lastRow="0" w:firstColumn="1" w:lastColumn="0" w:noHBand="0" w:noVBand="1"/>
      </w:tblPr>
      <w:tblGrid>
        <w:gridCol w:w="1621"/>
        <w:gridCol w:w="1607"/>
        <w:gridCol w:w="1601"/>
        <w:gridCol w:w="2350"/>
        <w:gridCol w:w="1472"/>
        <w:gridCol w:w="980"/>
        <w:gridCol w:w="960"/>
      </w:tblGrid>
      <w:tr w:rsidR="00F32362" w:rsidRPr="00AB3F42" w:rsidTr="00892C11">
        <w:trPr>
          <w:trHeight w:val="735"/>
        </w:trPr>
        <w:tc>
          <w:tcPr>
            <w:tcW w:w="4829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32362" w:rsidRPr="00AB3F42" w:rsidRDefault="0062661E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cr/>
            </w:r>
            <w:r w:rsidR="00F32362" w:rsidRPr="00AB3F42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>Composite Reliability, CR</w:t>
            </w:r>
          </w:p>
        </w:tc>
        <w:tc>
          <w:tcPr>
            <w:tcW w:w="235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center"/>
            <w:hideMark/>
          </w:tcPr>
          <w:p w:rsidR="00F32362" w:rsidRPr="00AB3F42" w:rsidRDefault="00F32362" w:rsidP="00892C11">
            <w:pPr>
              <w:spacing w:after="0" w:line="240" w:lineRule="auto"/>
              <w:jc w:val="right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B3F42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 xml:space="preserve">0.920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jc w:val="right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2362" w:rsidRPr="00AB3F42" w:rsidTr="00892C11">
        <w:trPr>
          <w:trHeight w:val="885"/>
        </w:trPr>
        <w:tc>
          <w:tcPr>
            <w:tcW w:w="482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B3F42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>Average Variance Extracted, AVE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F32362" w:rsidRPr="00AB3F42" w:rsidRDefault="00F32362" w:rsidP="00892C11">
            <w:pPr>
              <w:spacing w:after="0" w:line="240" w:lineRule="auto"/>
              <w:jc w:val="right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B3F42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 xml:space="preserve">0.703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jc w:val="right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2362" w:rsidRPr="00AB3F42" w:rsidTr="00892C11">
        <w:trPr>
          <w:trHeight w:val="360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2362" w:rsidRPr="00AB3F42" w:rsidTr="00892C11">
        <w:trPr>
          <w:trHeight w:val="360"/>
        </w:trPr>
        <w:tc>
          <w:tcPr>
            <w:tcW w:w="8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FF6600"/>
                <w:sz w:val="24"/>
                <w:szCs w:val="24"/>
              </w:rPr>
            </w:pPr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A composite reliability of </w:t>
            </w:r>
            <w:r w:rsidRPr="00AB3F42">
              <w:rPr>
                <w:rFonts w:ascii="Arial" w:eastAsia="PMingLiU" w:hAnsi="Arial" w:cs="Arial"/>
                <w:b/>
                <w:bCs/>
                <w:color w:val="FF0000"/>
                <w:sz w:val="24"/>
                <w:szCs w:val="24"/>
              </w:rPr>
              <w:t>0.70</w:t>
            </w:r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is recommended</w:t>
            </w:r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>( Hair,1997) ,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FF66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2362" w:rsidRPr="00AB3F42" w:rsidTr="00892C11">
        <w:trPr>
          <w:trHeight w:val="348"/>
        </w:trPr>
        <w:tc>
          <w:tcPr>
            <w:tcW w:w="9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4"/>
                <w:szCs w:val="24"/>
              </w:rPr>
            </w:pPr>
            <w:proofErr w:type="spellStart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>Fornell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and </w:t>
            </w:r>
            <w:proofErr w:type="spellStart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>Larcker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(1981) recommended a CR value of </w:t>
            </w:r>
            <w:r w:rsidRPr="00AB3F42">
              <w:rPr>
                <w:rFonts w:ascii="Arial" w:eastAsia="PMingLiU" w:hAnsi="Arial" w:cs="Arial"/>
                <w:b/>
                <w:bCs/>
                <w:color w:val="FF0000"/>
                <w:sz w:val="24"/>
                <w:szCs w:val="24"/>
              </w:rPr>
              <w:t>0.60</w:t>
            </w:r>
            <w:r w:rsidRPr="00AB3F42">
              <w:rPr>
                <w:rFonts w:ascii="Arial" w:eastAsia="PMingLiU" w:hAnsi="Arial" w:cs="Arial"/>
                <w:b/>
                <w:bCs/>
                <w:sz w:val="24"/>
                <w:szCs w:val="24"/>
              </w:rPr>
              <w:t xml:space="preserve"> or more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</w:p>
        </w:tc>
      </w:tr>
      <w:tr w:rsidR="00F32362" w:rsidRPr="00AB3F42" w:rsidTr="00F32362">
        <w:trPr>
          <w:trHeight w:val="124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2362" w:rsidRPr="00AB3F42" w:rsidTr="00892C11">
        <w:trPr>
          <w:trHeight w:val="348"/>
        </w:trPr>
        <w:tc>
          <w:tcPr>
            <w:tcW w:w="8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>Fornell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>Larcker</w:t>
            </w:r>
            <w:proofErr w:type="spellEnd"/>
            <w:r w:rsidRPr="00AB3F42">
              <w:rPr>
                <w:rFonts w:ascii="Arial" w:eastAsia="PMingLiU" w:hAnsi="Arial" w:cs="Arial"/>
                <w:b/>
                <w:bCs/>
                <w:color w:val="000000"/>
                <w:sz w:val="24"/>
                <w:szCs w:val="24"/>
              </w:rPr>
              <w:t xml:space="preserve">(1981) recommended an AVE greater than </w:t>
            </w:r>
            <w:r w:rsidRPr="00AB3F42">
              <w:rPr>
                <w:rFonts w:ascii="Arial" w:eastAsia="PMingLiU" w:hAnsi="Arial" w:cs="Arial"/>
                <w:b/>
                <w:bCs/>
                <w:color w:val="FF0000"/>
                <w:sz w:val="24"/>
                <w:szCs w:val="24"/>
              </w:rPr>
              <w:t>0.5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Arial" w:eastAsia="PMingLiU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62" w:rsidRPr="00AB3F42" w:rsidRDefault="00F32362" w:rsidP="0089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32362" w:rsidRDefault="00F32362" w:rsidP="00F32362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:rsidR="00532FF9" w:rsidRDefault="0062661E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Scale: Skills in Curriculum Development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"/>
        <w:gridCol w:w="1071"/>
        <w:gridCol w:w="952"/>
        <w:gridCol w:w="952"/>
      </w:tblGrid>
      <w:tr w:rsidR="00AB3F42" w:rsidTr="00AB3F42">
        <w:tc>
          <w:tcPr>
            <w:tcW w:w="3672" w:type="dxa"/>
            <w:gridSpan w:val="4"/>
            <w:shd w:val="clear" w:color="auto" w:fill="FFFFFF"/>
            <w:vAlign w:val="center"/>
          </w:tcPr>
          <w:p w:rsidR="00532FF9" w:rsidRDefault="0062661E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Case Processing Summary</w:t>
            </w:r>
          </w:p>
        </w:tc>
      </w:tr>
      <w:tr w:rsidR="00AB3F42" w:rsidTr="00AB3F42">
        <w:tc>
          <w:tcPr>
            <w:tcW w:w="1768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32FF9" w:rsidRDefault="00532FF9">
            <w:pPr>
              <w:spacing w:before="5" w:after="5"/>
              <w:ind w:left="30" w:right="40"/>
            </w:pP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%</w:t>
            </w:r>
          </w:p>
        </w:tc>
      </w:tr>
      <w:tr w:rsidR="00532FF9">
        <w:tc>
          <w:tcPr>
            <w:tcW w:w="697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Cases</w:t>
            </w:r>
          </w:p>
        </w:tc>
        <w:tc>
          <w:tcPr>
            <w:tcW w:w="107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75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91.5</w:t>
            </w:r>
          </w:p>
        </w:tc>
      </w:tr>
      <w:tr w:rsidR="00532FF9">
        <w:tc>
          <w:tcPr>
            <w:tcW w:w="697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532FF9" w:rsidRDefault="00532FF9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Excluded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8.5</w:t>
            </w:r>
          </w:p>
        </w:tc>
      </w:tr>
      <w:tr w:rsidR="00532FF9">
        <w:tc>
          <w:tcPr>
            <w:tcW w:w="697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532FF9" w:rsidRDefault="00532FF9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AB3F42" w:rsidTr="00AB3F42">
        <w:tc>
          <w:tcPr>
            <w:tcW w:w="3672" w:type="dxa"/>
            <w:gridSpan w:val="4"/>
            <w:shd w:val="clear" w:color="auto" w:fill="FFFFFF"/>
          </w:tcPr>
          <w:p w:rsidR="00532FF9" w:rsidRDefault="0062661E">
            <w:r>
              <w:rPr>
                <w:rFonts w:ascii="Arial" w:eastAsia="Arial" w:hAnsi="Arial" w:cs="Arial"/>
                <w:color w:val="000000"/>
                <w:sz w:val="20"/>
              </w:rPr>
              <w:t>a. Listwise deletion based on all variables in the procedure.</w:t>
            </w:r>
          </w:p>
        </w:tc>
      </w:tr>
    </w:tbl>
    <w:p w:rsidR="00532FF9" w:rsidRDefault="00532FF9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0"/>
        <w:gridCol w:w="1037"/>
      </w:tblGrid>
      <w:tr w:rsidR="00AB3F42" w:rsidTr="00AB3F42">
        <w:tc>
          <w:tcPr>
            <w:tcW w:w="2397" w:type="dxa"/>
            <w:gridSpan w:val="2"/>
            <w:shd w:val="clear" w:color="auto" w:fill="FFFFFF"/>
            <w:vAlign w:val="center"/>
          </w:tcPr>
          <w:p w:rsidR="00532FF9" w:rsidRDefault="0062661E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Reliability Statistics</w:t>
            </w:r>
          </w:p>
        </w:tc>
      </w:tr>
      <w:tr w:rsidR="00532FF9"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Cronbach's Alpha</w:t>
            </w:r>
          </w:p>
        </w:tc>
        <w:tc>
          <w:tcPr>
            <w:tcW w:w="1037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32FF9" w:rsidRDefault="0062661E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N of Items</w:t>
            </w:r>
          </w:p>
        </w:tc>
      </w:tr>
      <w:tr w:rsidR="00532FF9"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.9</w:t>
            </w:r>
            <w:r w:rsidR="00A33294">
              <w:rPr>
                <w:rFonts w:ascii="Arial" w:eastAsia="Arial" w:hAnsi="Arial" w:cs="Arial"/>
                <w:color w:val="000000"/>
                <w:sz w:val="20"/>
              </w:rPr>
              <w:t>32</w:t>
            </w:r>
          </w:p>
        </w:tc>
        <w:tc>
          <w:tcPr>
            <w:tcW w:w="1037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32FF9" w:rsidRDefault="0062661E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="00A33294">
              <w:rPr>
                <w:rFonts w:ascii="Arial" w:eastAsia="Arial" w:hAnsi="Arial" w:cs="Arial"/>
                <w:color w:val="000000"/>
                <w:sz w:val="20"/>
              </w:rPr>
              <w:t>0</w:t>
            </w:r>
          </w:p>
        </w:tc>
      </w:tr>
    </w:tbl>
    <w:p w:rsidR="00AB3F42" w:rsidRDefault="00AB3F42"/>
    <w:tbl>
      <w:tblPr>
        <w:tblW w:w="7980" w:type="dxa"/>
        <w:tblInd w:w="108" w:type="dxa"/>
        <w:tblLook w:val="04A0" w:firstRow="1" w:lastRow="0" w:firstColumn="1" w:lastColumn="0" w:noHBand="0" w:noVBand="1"/>
      </w:tblPr>
      <w:tblGrid>
        <w:gridCol w:w="6260"/>
        <w:gridCol w:w="1720"/>
      </w:tblGrid>
      <w:tr w:rsidR="00A33294" w:rsidRPr="00A33294" w:rsidTr="00A33294">
        <w:trPr>
          <w:trHeight w:val="615"/>
        </w:trPr>
        <w:tc>
          <w:tcPr>
            <w:tcW w:w="62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A33294" w:rsidRPr="00A33294" w:rsidRDefault="00A33294" w:rsidP="00A33294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33294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>Composite Reliability, CR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center"/>
            <w:hideMark/>
          </w:tcPr>
          <w:p w:rsidR="00A33294" w:rsidRPr="00A33294" w:rsidRDefault="00A33294" w:rsidP="00A33294">
            <w:pPr>
              <w:spacing w:after="0" w:line="240" w:lineRule="auto"/>
              <w:jc w:val="right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33294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 xml:space="preserve">0.935 </w:t>
            </w:r>
          </w:p>
        </w:tc>
      </w:tr>
      <w:tr w:rsidR="00A33294" w:rsidRPr="00A33294" w:rsidTr="00A33294">
        <w:trPr>
          <w:trHeight w:val="870"/>
        </w:trPr>
        <w:tc>
          <w:tcPr>
            <w:tcW w:w="62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33294" w:rsidRPr="00A33294" w:rsidRDefault="00A33294" w:rsidP="00A33294">
            <w:pPr>
              <w:spacing w:after="0" w:line="240" w:lineRule="auto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33294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>Average Variance Extracted, AVE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A33294" w:rsidRPr="00A33294" w:rsidRDefault="00A33294" w:rsidP="00A33294">
            <w:pPr>
              <w:spacing w:after="0" w:line="240" w:lineRule="auto"/>
              <w:jc w:val="right"/>
              <w:rPr>
                <w:rFonts w:ascii="Arial" w:eastAsia="PMingLiU" w:hAnsi="Arial" w:cs="Arial"/>
                <w:b/>
                <w:bCs/>
                <w:sz w:val="28"/>
                <w:szCs w:val="28"/>
              </w:rPr>
            </w:pPr>
            <w:r w:rsidRPr="00A33294">
              <w:rPr>
                <w:rFonts w:ascii="Arial" w:eastAsia="PMingLiU" w:hAnsi="Arial" w:cs="Arial"/>
                <w:b/>
                <w:bCs/>
                <w:sz w:val="28"/>
                <w:szCs w:val="28"/>
              </w:rPr>
              <w:t xml:space="preserve">0.592 </w:t>
            </w:r>
          </w:p>
        </w:tc>
      </w:tr>
    </w:tbl>
    <w:p w:rsidR="00A33294" w:rsidRDefault="00A33294"/>
    <w:sectPr w:rsidR="00A33294">
      <w:pgSz w:w="15840" w:h="12240" w:orient="landscape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Y0MDM1NjMwNLCwMLVQ0lEKTi0uzszPAykwrAUASQ1bxiwAAAA="/>
  </w:docVars>
  <w:rsids>
    <w:rsidRoot w:val="00532FF9"/>
    <w:rsid w:val="000661D9"/>
    <w:rsid w:val="00246EF3"/>
    <w:rsid w:val="0030378A"/>
    <w:rsid w:val="00532FF9"/>
    <w:rsid w:val="0062661E"/>
    <w:rsid w:val="00A33294"/>
    <w:rsid w:val="00AB3F42"/>
    <w:rsid w:val="00EE336B"/>
    <w:rsid w:val="00F3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digangoanem</cp:lastModifiedBy>
  <cp:revision>3</cp:revision>
  <dcterms:created xsi:type="dcterms:W3CDTF">2022-09-04T13:41:00Z</dcterms:created>
  <dcterms:modified xsi:type="dcterms:W3CDTF">2022-10-26T10:57:00Z</dcterms:modified>
</cp:coreProperties>
</file>