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C452B" w14:textId="133F5599" w:rsidR="00B62D03" w:rsidRPr="00B62D03" w:rsidRDefault="00B62D03" w:rsidP="00B62D03">
      <w:pPr>
        <w:pStyle w:val="ListParagraph"/>
        <w:numPr>
          <w:ilvl w:val="0"/>
          <w:numId w:val="2"/>
        </w:numPr>
        <w:spacing w:after="0"/>
        <w:jc w:val="both"/>
        <w:rPr>
          <w:rFonts w:cs="Arial"/>
          <w:bCs/>
        </w:rPr>
      </w:pPr>
      <w:r w:rsidRPr="00B62D03">
        <w:rPr>
          <w:rFonts w:cs="Arial"/>
          <w:bCs/>
        </w:rPr>
        <w:t xml:space="preserve">Five themes and corresponding subthemes identified </w:t>
      </w:r>
      <w:r w:rsidRPr="00B62D03">
        <w:rPr>
          <w:rFonts w:cs="Arial"/>
          <w:bCs/>
        </w:rPr>
        <w:t xml:space="preserve">from interview transcriptions, teacher diary entry notes  and </w:t>
      </w:r>
      <w:r w:rsidRPr="00B62D03">
        <w:rPr>
          <w:rFonts w:cs="Arial"/>
          <w:bCs/>
        </w:rPr>
        <w:t>artefacts in the form of photographs</w:t>
      </w:r>
      <w:r w:rsidRPr="00B62D03">
        <w:rPr>
          <w:rFonts w:cs="Arial"/>
          <w:bCs/>
        </w:rPr>
        <w:t xml:space="preserve">. </w:t>
      </w:r>
    </w:p>
    <w:p w14:paraId="67C31ED0" w14:textId="77777777" w:rsidR="00B62D03" w:rsidRPr="005E1049" w:rsidRDefault="00B62D03" w:rsidP="00B62D03">
      <w:pPr>
        <w:spacing w:after="0"/>
        <w:jc w:val="both"/>
        <w:rPr>
          <w:rFonts w:cs="Arial"/>
          <w:bCs/>
        </w:rPr>
      </w:pPr>
    </w:p>
    <w:tbl>
      <w:tblPr>
        <w:tblStyle w:val="TableGridLight"/>
        <w:tblW w:w="9016" w:type="dxa"/>
        <w:tblLook w:val="0000" w:firstRow="0" w:lastRow="0" w:firstColumn="0" w:lastColumn="0" w:noHBand="0" w:noVBand="0"/>
      </w:tblPr>
      <w:tblGrid>
        <w:gridCol w:w="2972"/>
        <w:gridCol w:w="6044"/>
      </w:tblGrid>
      <w:tr w:rsidR="00B62D03" w:rsidRPr="005E1049" w14:paraId="5F0AFA53" w14:textId="77777777" w:rsidTr="008A28D5">
        <w:trPr>
          <w:trHeight w:val="100"/>
        </w:trPr>
        <w:tc>
          <w:tcPr>
            <w:tcW w:w="2972" w:type="dxa"/>
            <w:shd w:val="clear" w:color="auto" w:fill="70AD47" w:themeFill="accent6"/>
          </w:tcPr>
          <w:p w14:paraId="700650FE" w14:textId="77777777" w:rsidR="00B62D03" w:rsidRPr="005E1049" w:rsidRDefault="00B62D03" w:rsidP="008A28D5">
            <w:pPr>
              <w:rPr>
                <w:rFonts w:cs="Arial"/>
                <w:b/>
              </w:rPr>
            </w:pPr>
            <w:bookmarkStart w:id="0" w:name="_Hlk132220811"/>
            <w:r w:rsidRPr="005E1049">
              <w:rPr>
                <w:rFonts w:cs="Arial"/>
                <w:b/>
              </w:rPr>
              <w:t>THEMES</w:t>
            </w:r>
          </w:p>
        </w:tc>
        <w:tc>
          <w:tcPr>
            <w:tcW w:w="6044" w:type="dxa"/>
            <w:shd w:val="clear" w:color="auto" w:fill="70AD47" w:themeFill="accent6"/>
          </w:tcPr>
          <w:p w14:paraId="3D5E2054" w14:textId="77777777" w:rsidR="00B62D03" w:rsidRPr="005E1049" w:rsidRDefault="00B62D03" w:rsidP="008A28D5">
            <w:pPr>
              <w:rPr>
                <w:rFonts w:cs="Arial"/>
                <w:b/>
              </w:rPr>
            </w:pPr>
            <w:r w:rsidRPr="005E1049">
              <w:rPr>
                <w:rFonts w:cs="Arial"/>
                <w:b/>
              </w:rPr>
              <w:t>SUBTHEMES</w:t>
            </w:r>
          </w:p>
        </w:tc>
      </w:tr>
      <w:tr w:rsidR="00B62D03" w:rsidRPr="005E1049" w14:paraId="0E0BD680" w14:textId="77777777" w:rsidTr="008A28D5">
        <w:trPr>
          <w:trHeight w:val="525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14:paraId="43322AC1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  <w:r w:rsidRPr="005E1049">
              <w:rPr>
                <w:rFonts w:cs="Arial"/>
                <w:b/>
              </w:rPr>
              <w:t>Theme 1</w:t>
            </w:r>
            <w:r w:rsidRPr="005E1049">
              <w:rPr>
                <w:rFonts w:cs="Arial"/>
                <w:bCs/>
              </w:rPr>
              <w:t>: Current support strategies LO teachers use to support Grade 12 learners for transitioning to tertiary education</w:t>
            </w:r>
          </w:p>
          <w:p w14:paraId="769EF777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</w:p>
          <w:p w14:paraId="4B8889C4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5019EFA8" w14:textId="77777777" w:rsidR="00B62D03" w:rsidRPr="003E2302" w:rsidRDefault="00B62D03" w:rsidP="008A28D5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>Subtheme 1.1</w:t>
            </w:r>
            <w:r w:rsidRPr="003E2302">
              <w:rPr>
                <w:rFonts w:eastAsia="Calibri" w:cs="Arial"/>
                <w:sz w:val="21"/>
                <w:szCs w:val="21"/>
              </w:rPr>
              <w:t xml:space="preserve"> – Provision of information about career options and related information</w:t>
            </w:r>
          </w:p>
        </w:tc>
      </w:tr>
      <w:tr w:rsidR="00B62D03" w:rsidRPr="005E1049" w14:paraId="51019BD5" w14:textId="77777777" w:rsidTr="008A28D5">
        <w:trPr>
          <w:trHeight w:val="397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7730B780" w14:textId="77777777" w:rsidR="00B62D03" w:rsidRPr="005E1049" w:rsidRDefault="00B62D03" w:rsidP="008A28D5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22FCA2E3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>Subtheme 1.2</w:t>
            </w:r>
            <w:r w:rsidRPr="003E2302">
              <w:rPr>
                <w:rFonts w:cs="Arial"/>
                <w:bCs/>
                <w:sz w:val="21"/>
                <w:szCs w:val="21"/>
              </w:rPr>
              <w:t xml:space="preserve"> – Provision of guidance and motivation</w:t>
            </w:r>
          </w:p>
        </w:tc>
      </w:tr>
      <w:tr w:rsidR="00B62D03" w:rsidRPr="005E1049" w14:paraId="6E35B812" w14:textId="77777777" w:rsidTr="008A28D5">
        <w:trPr>
          <w:trHeight w:val="417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45C40B27" w14:textId="77777777" w:rsidR="00B62D03" w:rsidRPr="005E1049" w:rsidRDefault="00B62D03" w:rsidP="008A28D5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0CECA9AB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1.3 – </w:t>
            </w:r>
            <w:r w:rsidRPr="003E2302">
              <w:rPr>
                <w:rFonts w:cs="Arial"/>
                <w:bCs/>
                <w:sz w:val="21"/>
                <w:szCs w:val="21"/>
              </w:rPr>
              <w:t>Provision of academic support interventions</w:t>
            </w:r>
          </w:p>
        </w:tc>
      </w:tr>
      <w:tr w:rsidR="00B62D03" w:rsidRPr="005E1049" w14:paraId="30790D0A" w14:textId="77777777" w:rsidTr="008A28D5">
        <w:trPr>
          <w:trHeight w:val="600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1DE37829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3A858CD8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1.4 – </w:t>
            </w:r>
            <w:r w:rsidRPr="003E2302">
              <w:rPr>
                <w:rFonts w:eastAsia="Calibri" w:cs="Arial"/>
                <w:sz w:val="21"/>
                <w:szCs w:val="21"/>
              </w:rPr>
              <w:t>Coordination and participation in career guidance and career information sharing activities</w:t>
            </w:r>
          </w:p>
        </w:tc>
      </w:tr>
      <w:tr w:rsidR="00B62D03" w:rsidRPr="005E1049" w14:paraId="119AF57A" w14:textId="77777777" w:rsidTr="008A28D5">
        <w:trPr>
          <w:trHeight w:val="540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2EF618EB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3226B282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1.5 – </w:t>
            </w:r>
            <w:r w:rsidRPr="003E2302">
              <w:rPr>
                <w:rFonts w:eastAsia="Calibri" w:cs="Arial"/>
                <w:sz w:val="21"/>
                <w:szCs w:val="21"/>
              </w:rPr>
              <w:t>Assistance with online applications for tertiary institutions</w:t>
            </w:r>
          </w:p>
        </w:tc>
      </w:tr>
      <w:tr w:rsidR="00B62D03" w:rsidRPr="005E1049" w14:paraId="265464FB" w14:textId="77777777" w:rsidTr="008A28D5">
        <w:trPr>
          <w:trHeight w:val="540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00C81168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16506C38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1.6 – </w:t>
            </w:r>
            <w:r w:rsidRPr="003E2302">
              <w:rPr>
                <w:rFonts w:cs="Arial"/>
                <w:bCs/>
                <w:sz w:val="21"/>
                <w:szCs w:val="21"/>
              </w:rPr>
              <w:t>Teaching</w:t>
            </w:r>
            <w:r w:rsidRPr="003E2302">
              <w:rPr>
                <w:rFonts w:eastAsia="Calibri" w:cs="Arial"/>
                <w:sz w:val="21"/>
                <w:szCs w:val="21"/>
              </w:rPr>
              <w:t xml:space="preserve"> study skills and methods</w:t>
            </w:r>
          </w:p>
        </w:tc>
      </w:tr>
      <w:tr w:rsidR="00B62D03" w:rsidRPr="005E1049" w14:paraId="77E12B59" w14:textId="77777777" w:rsidTr="008A28D5">
        <w:trPr>
          <w:trHeight w:val="540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0EB2BEDA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7A505BDD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1.7 – </w:t>
            </w:r>
            <w:r w:rsidRPr="003E2302">
              <w:rPr>
                <w:rFonts w:cs="Arial"/>
                <w:bCs/>
                <w:sz w:val="21"/>
                <w:szCs w:val="21"/>
              </w:rPr>
              <w:t>Preparing Grade 12 learners for tertiary education</w:t>
            </w:r>
          </w:p>
        </w:tc>
      </w:tr>
      <w:tr w:rsidR="00B62D03" w:rsidRPr="005E1049" w14:paraId="7A9157F7" w14:textId="77777777" w:rsidTr="008A28D5">
        <w:trPr>
          <w:trHeight w:val="527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1448F9E2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4EA71304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1.8 – </w:t>
            </w:r>
            <w:r w:rsidRPr="003E2302">
              <w:rPr>
                <w:rFonts w:cs="Arial"/>
                <w:bCs/>
                <w:sz w:val="21"/>
                <w:szCs w:val="21"/>
              </w:rPr>
              <w:t>Opportunity to participate in extra-mural activities</w:t>
            </w:r>
          </w:p>
        </w:tc>
      </w:tr>
      <w:tr w:rsidR="00B62D03" w:rsidRPr="005E1049" w14:paraId="5324C0A6" w14:textId="77777777" w:rsidTr="008A28D5">
        <w:trPr>
          <w:trHeight w:val="677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34E8A4EE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5C0BFE39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1.9 – </w:t>
            </w:r>
            <w:r w:rsidRPr="003E2302">
              <w:rPr>
                <w:rFonts w:cs="Arial"/>
                <w:bCs/>
                <w:sz w:val="21"/>
                <w:szCs w:val="21"/>
              </w:rPr>
              <w:t>Availability of teaching and learning resources and supplemental materials</w:t>
            </w:r>
          </w:p>
        </w:tc>
      </w:tr>
      <w:tr w:rsidR="00B62D03" w:rsidRPr="005E1049" w14:paraId="09765C27" w14:textId="77777777" w:rsidTr="008A28D5">
        <w:trPr>
          <w:trHeight w:val="390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14:paraId="43FF8861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  <w:r w:rsidRPr="005E1049">
              <w:rPr>
                <w:rFonts w:cs="Arial"/>
                <w:b/>
              </w:rPr>
              <w:t>Theme 2</w:t>
            </w:r>
            <w:r w:rsidRPr="005E1049">
              <w:rPr>
                <w:rFonts w:cs="Arial"/>
                <w:bCs/>
              </w:rPr>
              <w:t>: Proposed support strategies LO teachers can use to support Grade 12 learners for transitioning to tertiary education</w:t>
            </w:r>
          </w:p>
        </w:tc>
        <w:tc>
          <w:tcPr>
            <w:tcW w:w="6044" w:type="dxa"/>
            <w:shd w:val="clear" w:color="auto" w:fill="FBE4D5" w:themeFill="accent2" w:themeFillTint="33"/>
          </w:tcPr>
          <w:p w14:paraId="3D1FD68B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bookmarkStart w:id="1" w:name="_Hlk126789552"/>
            <w:r w:rsidRPr="003E2302">
              <w:rPr>
                <w:rFonts w:cs="Arial"/>
                <w:b/>
                <w:sz w:val="21"/>
                <w:szCs w:val="21"/>
              </w:rPr>
              <w:t>Subtheme 2.1</w:t>
            </w:r>
            <w:r w:rsidRPr="003E2302">
              <w:rPr>
                <w:rFonts w:cs="Arial"/>
                <w:bCs/>
                <w:sz w:val="21"/>
                <w:szCs w:val="21"/>
              </w:rPr>
              <w:t xml:space="preserve"> – </w:t>
            </w:r>
            <w:r w:rsidRPr="003E2302">
              <w:rPr>
                <w:rFonts w:eastAsia="Calibri" w:cs="Arial"/>
                <w:sz w:val="21"/>
                <w:szCs w:val="21"/>
              </w:rPr>
              <w:t>Empowerment with life skills</w:t>
            </w:r>
            <w:bookmarkEnd w:id="1"/>
          </w:p>
        </w:tc>
      </w:tr>
      <w:tr w:rsidR="00B62D03" w:rsidRPr="005E1049" w14:paraId="149EDD7C" w14:textId="77777777" w:rsidTr="008A28D5">
        <w:trPr>
          <w:trHeight w:val="373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1CBA0CDA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288BC204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bCs/>
                <w:sz w:val="21"/>
                <w:szCs w:val="21"/>
              </w:rPr>
              <w:t>Subtheme 2.2</w:t>
            </w:r>
            <w:r w:rsidRPr="003E2302">
              <w:rPr>
                <w:rFonts w:cs="Arial"/>
                <w:sz w:val="21"/>
                <w:szCs w:val="21"/>
              </w:rPr>
              <w:t xml:space="preserve"> – </w:t>
            </w:r>
            <w:r w:rsidRPr="003E2302">
              <w:rPr>
                <w:rFonts w:eastAsia="Calibri" w:cs="Arial"/>
                <w:sz w:val="21"/>
                <w:szCs w:val="21"/>
              </w:rPr>
              <w:t>Empowerment with study skills</w:t>
            </w:r>
          </w:p>
        </w:tc>
      </w:tr>
      <w:tr w:rsidR="00B62D03" w:rsidRPr="005E1049" w14:paraId="47955B48" w14:textId="77777777" w:rsidTr="008A28D5">
        <w:trPr>
          <w:trHeight w:val="484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2DA3A335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79B8F4D4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bCs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2.3 – </w:t>
            </w:r>
            <w:r w:rsidRPr="003E2302">
              <w:rPr>
                <w:rFonts w:eastAsia="Calibri" w:cs="Arial"/>
                <w:sz w:val="21"/>
                <w:szCs w:val="21"/>
              </w:rPr>
              <w:t>Organising peer-to-peer information sharing sessions</w:t>
            </w:r>
          </w:p>
        </w:tc>
      </w:tr>
      <w:tr w:rsidR="00B62D03" w:rsidRPr="005E1049" w14:paraId="58482DDE" w14:textId="77777777" w:rsidTr="008A28D5">
        <w:trPr>
          <w:trHeight w:val="620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47DBB325" w14:textId="77777777" w:rsidR="00B62D03" w:rsidRPr="005E1049" w:rsidRDefault="00B62D03" w:rsidP="008A28D5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5274720D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>Subtheme 2.4</w:t>
            </w:r>
            <w:r w:rsidRPr="003E2302">
              <w:rPr>
                <w:rFonts w:cs="Arial"/>
                <w:bCs/>
                <w:sz w:val="21"/>
                <w:szCs w:val="21"/>
              </w:rPr>
              <w:t xml:space="preserve"> – Assistance regarding career development information and </w:t>
            </w:r>
            <w:r>
              <w:rPr>
                <w:rFonts w:cs="Arial"/>
                <w:bCs/>
                <w:sz w:val="21"/>
                <w:szCs w:val="21"/>
              </w:rPr>
              <w:t>higher education</w:t>
            </w:r>
            <w:r w:rsidRPr="003E2302">
              <w:rPr>
                <w:rFonts w:cs="Arial"/>
                <w:bCs/>
                <w:sz w:val="21"/>
                <w:szCs w:val="21"/>
              </w:rPr>
              <w:t xml:space="preserve"> applications</w:t>
            </w:r>
          </w:p>
        </w:tc>
      </w:tr>
      <w:tr w:rsidR="00B62D03" w:rsidRPr="005E1049" w14:paraId="345274E5" w14:textId="77777777" w:rsidTr="008A28D5">
        <w:trPr>
          <w:trHeight w:val="380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14:paraId="641492FC" w14:textId="77777777" w:rsidR="00B62D03" w:rsidRPr="005E1049" w:rsidRDefault="00B62D03" w:rsidP="008A28D5">
            <w:pPr>
              <w:spacing w:line="276" w:lineRule="auto"/>
              <w:rPr>
                <w:rFonts w:cs="Arial"/>
                <w:b/>
              </w:rPr>
            </w:pPr>
            <w:bookmarkStart w:id="2" w:name="_Hlk126789698"/>
            <w:r w:rsidRPr="005E1049">
              <w:rPr>
                <w:rFonts w:cs="Arial"/>
                <w:b/>
              </w:rPr>
              <w:t xml:space="preserve">Theme 3: </w:t>
            </w:r>
            <w:r w:rsidRPr="005E1049">
              <w:rPr>
                <w:rFonts w:cs="Arial"/>
                <w:bCs/>
              </w:rPr>
              <w:t>Factors enabling transitions of Grade 12 learners to tertiary education</w:t>
            </w:r>
            <w:bookmarkEnd w:id="2"/>
          </w:p>
        </w:tc>
        <w:tc>
          <w:tcPr>
            <w:tcW w:w="6044" w:type="dxa"/>
            <w:shd w:val="clear" w:color="auto" w:fill="FBE4D5" w:themeFill="accent2" w:themeFillTint="33"/>
          </w:tcPr>
          <w:p w14:paraId="0457B8A0" w14:textId="77777777" w:rsidR="00B62D03" w:rsidRPr="003E2302" w:rsidRDefault="00B62D03" w:rsidP="008A28D5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bookmarkStart w:id="3" w:name="_Hlk126789900"/>
            <w:r w:rsidRPr="003E2302">
              <w:rPr>
                <w:rFonts w:cs="Arial"/>
                <w:b/>
                <w:sz w:val="21"/>
                <w:szCs w:val="21"/>
              </w:rPr>
              <w:t>Subtheme 3.1</w:t>
            </w:r>
            <w:bookmarkEnd w:id="3"/>
            <w:r w:rsidRPr="003E2302">
              <w:rPr>
                <w:rFonts w:cs="Arial"/>
                <w:b/>
                <w:sz w:val="21"/>
                <w:szCs w:val="21"/>
              </w:rPr>
              <w:t xml:space="preserve"> – </w:t>
            </w:r>
            <w:r w:rsidRPr="003E2302">
              <w:rPr>
                <w:rFonts w:cs="Arial"/>
                <w:bCs/>
                <w:sz w:val="21"/>
                <w:szCs w:val="21"/>
              </w:rPr>
              <w:t>Good academic achievement</w:t>
            </w:r>
          </w:p>
        </w:tc>
      </w:tr>
      <w:tr w:rsidR="00B62D03" w:rsidRPr="005E1049" w14:paraId="4A9E4A64" w14:textId="77777777" w:rsidTr="008A28D5">
        <w:trPr>
          <w:trHeight w:val="451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5A5B3375" w14:textId="77777777" w:rsidR="00B62D03" w:rsidRPr="005E1049" w:rsidRDefault="00B62D03" w:rsidP="008A28D5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77D1E72B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>Subtheme 3.2</w:t>
            </w:r>
            <w:r w:rsidRPr="003E2302">
              <w:rPr>
                <w:rFonts w:cs="Arial"/>
                <w:bCs/>
                <w:sz w:val="21"/>
                <w:szCs w:val="21"/>
              </w:rPr>
              <w:t xml:space="preserve"> – Emotional preparation</w:t>
            </w:r>
          </w:p>
        </w:tc>
      </w:tr>
      <w:tr w:rsidR="00B62D03" w:rsidRPr="005E1049" w14:paraId="2CA43BBC" w14:textId="77777777" w:rsidTr="008A28D5">
        <w:trPr>
          <w:trHeight w:val="415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3598BC37" w14:textId="77777777" w:rsidR="00B62D03" w:rsidRPr="005E1049" w:rsidRDefault="00B62D03" w:rsidP="008A28D5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3F79544F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>Subtheme 3.3</w:t>
            </w:r>
            <w:r w:rsidRPr="003E2302">
              <w:rPr>
                <w:rFonts w:cs="Arial"/>
                <w:bCs/>
                <w:sz w:val="21"/>
                <w:szCs w:val="21"/>
              </w:rPr>
              <w:t xml:space="preserve"> – Parental support</w:t>
            </w:r>
          </w:p>
        </w:tc>
      </w:tr>
      <w:tr w:rsidR="00B62D03" w:rsidRPr="005E1049" w14:paraId="00CA25C4" w14:textId="77777777" w:rsidTr="008A28D5">
        <w:trPr>
          <w:trHeight w:val="420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33945764" w14:textId="77777777" w:rsidR="00B62D03" w:rsidRPr="005E1049" w:rsidRDefault="00B62D03" w:rsidP="008A28D5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5CE964BA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3.4 </w:t>
            </w:r>
            <w:r w:rsidRPr="003E2302">
              <w:rPr>
                <w:rFonts w:cs="Arial"/>
                <w:bCs/>
                <w:sz w:val="21"/>
                <w:szCs w:val="21"/>
              </w:rPr>
              <w:t>–</w:t>
            </w:r>
            <w:r w:rsidRPr="003E2302">
              <w:rPr>
                <w:rFonts w:cs="Arial"/>
                <w:b/>
                <w:sz w:val="21"/>
                <w:szCs w:val="21"/>
              </w:rPr>
              <w:t xml:space="preserve"> </w:t>
            </w:r>
            <w:r w:rsidRPr="003E2302">
              <w:rPr>
                <w:rFonts w:cs="Arial"/>
                <w:bCs/>
                <w:sz w:val="21"/>
                <w:szCs w:val="21"/>
              </w:rPr>
              <w:t>Study skills and methods</w:t>
            </w:r>
          </w:p>
        </w:tc>
      </w:tr>
      <w:tr w:rsidR="00B62D03" w:rsidRPr="005E1049" w14:paraId="5E066403" w14:textId="77777777" w:rsidTr="008A28D5">
        <w:trPr>
          <w:trHeight w:val="683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14:paraId="66177CC9" w14:textId="77777777" w:rsidR="00B62D03" w:rsidRPr="005E1049" w:rsidRDefault="00B62D03" w:rsidP="008A28D5">
            <w:pPr>
              <w:spacing w:line="276" w:lineRule="auto"/>
              <w:rPr>
                <w:rFonts w:cs="Arial"/>
                <w:b/>
              </w:rPr>
            </w:pPr>
            <w:bookmarkStart w:id="4" w:name="_Hlk126789759"/>
            <w:r w:rsidRPr="005E1049">
              <w:rPr>
                <w:rFonts w:cs="Arial"/>
                <w:b/>
              </w:rPr>
              <w:t xml:space="preserve">Theme 4: </w:t>
            </w:r>
            <w:r w:rsidRPr="005E1049">
              <w:rPr>
                <w:rFonts w:cs="Arial"/>
                <w:bCs/>
              </w:rPr>
              <w:t>Factors hindering transitions of Grade 12 learners to tertiary education</w:t>
            </w:r>
            <w:bookmarkEnd w:id="4"/>
          </w:p>
        </w:tc>
        <w:tc>
          <w:tcPr>
            <w:tcW w:w="6044" w:type="dxa"/>
            <w:shd w:val="clear" w:color="auto" w:fill="FBE4D5" w:themeFill="accent2" w:themeFillTint="33"/>
          </w:tcPr>
          <w:p w14:paraId="2E1B07C9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>Subtheme 4.1</w:t>
            </w:r>
            <w:r w:rsidRPr="003E2302">
              <w:rPr>
                <w:rFonts w:cs="Arial"/>
                <w:bCs/>
                <w:sz w:val="21"/>
                <w:szCs w:val="21"/>
              </w:rPr>
              <w:t>-</w:t>
            </w:r>
            <w:r w:rsidRPr="003E2302">
              <w:rPr>
                <w:rFonts w:cs="Arial"/>
                <w:b/>
                <w:sz w:val="21"/>
                <w:szCs w:val="21"/>
              </w:rPr>
              <w:t xml:space="preserve"> </w:t>
            </w:r>
            <w:r w:rsidRPr="003E2302">
              <w:rPr>
                <w:rFonts w:cs="Arial"/>
                <w:bCs/>
                <w:sz w:val="21"/>
                <w:szCs w:val="21"/>
              </w:rPr>
              <w:t>Lack of accurate information on university entrance requirements</w:t>
            </w:r>
          </w:p>
        </w:tc>
      </w:tr>
      <w:tr w:rsidR="00B62D03" w:rsidRPr="005E1049" w14:paraId="47F488B9" w14:textId="77777777" w:rsidTr="008A28D5">
        <w:trPr>
          <w:trHeight w:val="720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3637B78F" w14:textId="77777777" w:rsidR="00B62D03" w:rsidRPr="005E1049" w:rsidRDefault="00B62D03" w:rsidP="008A28D5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1289B514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4.2 – </w:t>
            </w:r>
            <w:r w:rsidRPr="003E2302">
              <w:rPr>
                <w:rFonts w:cs="Arial"/>
                <w:bCs/>
                <w:sz w:val="21"/>
                <w:szCs w:val="21"/>
              </w:rPr>
              <w:t>Lack of financial support, lack of knowledge about student financial aid and affordability concerns</w:t>
            </w:r>
          </w:p>
        </w:tc>
      </w:tr>
      <w:tr w:rsidR="00B62D03" w:rsidRPr="005E1049" w14:paraId="2171A716" w14:textId="77777777" w:rsidTr="008A28D5">
        <w:trPr>
          <w:trHeight w:val="491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0B2DED7D" w14:textId="77777777" w:rsidR="00B62D03" w:rsidRPr="005E1049" w:rsidRDefault="00B62D03" w:rsidP="008A28D5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7BFC8470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4.3 – </w:t>
            </w:r>
            <w:r w:rsidRPr="003E2302">
              <w:rPr>
                <w:rFonts w:cs="Arial"/>
                <w:bCs/>
                <w:sz w:val="21"/>
                <w:szCs w:val="21"/>
              </w:rPr>
              <w:t>Being a first-generation student</w:t>
            </w:r>
          </w:p>
        </w:tc>
      </w:tr>
      <w:tr w:rsidR="00B62D03" w:rsidRPr="005E1049" w14:paraId="7924E10C" w14:textId="77777777" w:rsidTr="008A28D5">
        <w:trPr>
          <w:trHeight w:val="469"/>
        </w:trPr>
        <w:tc>
          <w:tcPr>
            <w:tcW w:w="2972" w:type="dxa"/>
            <w:vMerge/>
            <w:shd w:val="clear" w:color="auto" w:fill="FBE4D5" w:themeFill="accent2" w:themeFillTint="33"/>
          </w:tcPr>
          <w:p w14:paraId="2023CE23" w14:textId="77777777" w:rsidR="00B62D03" w:rsidRPr="005E1049" w:rsidRDefault="00B62D03" w:rsidP="008A28D5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6044" w:type="dxa"/>
            <w:shd w:val="clear" w:color="auto" w:fill="FBE4D5" w:themeFill="accent2" w:themeFillTint="33"/>
          </w:tcPr>
          <w:p w14:paraId="18A7D1B6" w14:textId="77777777" w:rsidR="00B62D03" w:rsidRPr="003E2302" w:rsidRDefault="00B62D03" w:rsidP="008A28D5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3E2302">
              <w:rPr>
                <w:rFonts w:cs="Arial"/>
                <w:b/>
                <w:sz w:val="21"/>
                <w:szCs w:val="21"/>
              </w:rPr>
              <w:t xml:space="preserve">Subtheme 4.4 – </w:t>
            </w:r>
            <w:r w:rsidRPr="003E2302">
              <w:rPr>
                <w:rFonts w:cs="Arial"/>
                <w:bCs/>
                <w:sz w:val="21"/>
                <w:szCs w:val="21"/>
              </w:rPr>
              <w:t>Limited resources at school</w:t>
            </w:r>
          </w:p>
        </w:tc>
      </w:tr>
      <w:tr w:rsidR="00B62D03" w:rsidRPr="005E1049" w14:paraId="43454D90" w14:textId="77777777" w:rsidTr="008A28D5">
        <w:trPr>
          <w:trHeight w:val="834"/>
        </w:trPr>
        <w:tc>
          <w:tcPr>
            <w:tcW w:w="2972" w:type="dxa"/>
            <w:shd w:val="clear" w:color="auto" w:fill="FBE4D5" w:themeFill="accent2" w:themeFillTint="33"/>
          </w:tcPr>
          <w:p w14:paraId="16DA7077" w14:textId="77777777" w:rsidR="00B62D03" w:rsidRPr="005E1049" w:rsidRDefault="00B62D03" w:rsidP="008A28D5">
            <w:pPr>
              <w:spacing w:line="276" w:lineRule="auto"/>
              <w:rPr>
                <w:rFonts w:cs="Arial"/>
                <w:b/>
              </w:rPr>
            </w:pPr>
            <w:r w:rsidRPr="005E1049">
              <w:rPr>
                <w:rFonts w:cs="Arial"/>
                <w:b/>
              </w:rPr>
              <w:t xml:space="preserve">Theme 5: </w:t>
            </w:r>
            <w:bookmarkStart w:id="5" w:name="_Hlk126789827"/>
            <w:r w:rsidRPr="005E1049">
              <w:rPr>
                <w:rFonts w:eastAsia="Calibri" w:cs="Arial"/>
              </w:rPr>
              <w:t>Higher education institutions</w:t>
            </w:r>
            <w:r>
              <w:rPr>
                <w:rFonts w:eastAsia="Calibri" w:cs="Arial"/>
              </w:rPr>
              <w:t>’</w:t>
            </w:r>
            <w:r w:rsidRPr="005E1049">
              <w:rPr>
                <w:rFonts w:eastAsia="Calibri" w:cs="Arial"/>
              </w:rPr>
              <w:t xml:space="preserve"> support of LO teachers</w:t>
            </w:r>
            <w:bookmarkEnd w:id="5"/>
          </w:p>
        </w:tc>
        <w:tc>
          <w:tcPr>
            <w:tcW w:w="6044" w:type="dxa"/>
            <w:shd w:val="clear" w:color="auto" w:fill="FBE4D5" w:themeFill="accent2" w:themeFillTint="33"/>
          </w:tcPr>
          <w:p w14:paraId="5519364F" w14:textId="77777777" w:rsidR="00B62D03" w:rsidRPr="003E2302" w:rsidRDefault="00B62D03" w:rsidP="008A28D5">
            <w:pPr>
              <w:spacing w:line="276" w:lineRule="auto"/>
              <w:rPr>
                <w:rFonts w:eastAsia="Calibri" w:cs="Arial"/>
                <w:b/>
                <w:bCs/>
                <w:sz w:val="21"/>
                <w:szCs w:val="21"/>
              </w:rPr>
            </w:pPr>
            <w:bookmarkStart w:id="6" w:name="_Hlk126789995"/>
            <w:r w:rsidRPr="003E2302">
              <w:rPr>
                <w:rFonts w:cs="Arial"/>
                <w:b/>
                <w:sz w:val="21"/>
                <w:szCs w:val="21"/>
              </w:rPr>
              <w:t xml:space="preserve">Subtheme 5.1 – </w:t>
            </w:r>
            <w:r w:rsidRPr="003E2302">
              <w:rPr>
                <w:rFonts w:eastAsia="Calibri" w:cs="Arial"/>
                <w:sz w:val="21"/>
                <w:szCs w:val="21"/>
              </w:rPr>
              <w:t>Collaboration opportunities</w:t>
            </w:r>
            <w:bookmarkEnd w:id="6"/>
          </w:p>
        </w:tc>
      </w:tr>
      <w:bookmarkEnd w:id="0"/>
    </w:tbl>
    <w:p w14:paraId="54BD777C" w14:textId="77777777" w:rsidR="00B62D03" w:rsidRPr="005E1049" w:rsidRDefault="00B62D03" w:rsidP="00B62D03">
      <w:pPr>
        <w:spacing w:line="259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14:paraId="584A2259" w14:textId="4A89F544" w:rsidR="00B62D03" w:rsidRDefault="00B62D03" w:rsidP="00B62D03">
      <w:pPr>
        <w:pStyle w:val="ListParagraph"/>
        <w:numPr>
          <w:ilvl w:val="0"/>
          <w:numId w:val="2"/>
        </w:numPr>
        <w:spacing w:before="100" w:beforeAutospacing="1" w:after="200"/>
        <w:jc w:val="both"/>
        <w:rPr>
          <w:rFonts w:eastAsia="Calibri" w:cs="Arial"/>
          <w:bCs/>
          <w:color w:val="000000" w:themeColor="text1"/>
        </w:rPr>
      </w:pPr>
      <w:r w:rsidRPr="00B62D03">
        <w:rPr>
          <w:rFonts w:eastAsia="Calibri" w:cs="Arial"/>
          <w:bCs/>
          <w:color w:val="000000" w:themeColor="text1"/>
        </w:rPr>
        <w:lastRenderedPageBreak/>
        <w:t>Four themes identified from analysing the final vignettes</w:t>
      </w:r>
      <w:r>
        <w:rPr>
          <w:rFonts w:eastAsia="Calibri" w:cs="Arial"/>
          <w:bCs/>
          <w:color w:val="000000" w:themeColor="text1"/>
        </w:rPr>
        <w:t xml:space="preserve">. </w:t>
      </w:r>
    </w:p>
    <w:p w14:paraId="411CB622" w14:textId="0672147A" w:rsidR="00B62D03" w:rsidRPr="00B62D03" w:rsidRDefault="00B62D03" w:rsidP="00B62D03">
      <w:pPr>
        <w:spacing w:before="100" w:beforeAutospacing="1" w:after="200"/>
        <w:ind w:left="360"/>
        <w:jc w:val="both"/>
        <w:rPr>
          <w:rFonts w:eastAsia="Calibri" w:cs="Arial"/>
          <w:bCs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B391B" wp14:editId="224AB21A">
                <wp:simplePos x="0" y="0"/>
                <wp:positionH relativeFrom="column">
                  <wp:posOffset>569595</wp:posOffset>
                </wp:positionH>
                <wp:positionV relativeFrom="paragraph">
                  <wp:posOffset>120015</wp:posOffset>
                </wp:positionV>
                <wp:extent cx="4924425" cy="370840"/>
                <wp:effectExtent l="0" t="0" r="9525" b="0"/>
                <wp:wrapNone/>
                <wp:docPr id="1606835565" name="Rectangle: Rounded Corner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4425" cy="370840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8D22BD" w14:textId="3A52796A" w:rsidR="00B62D03" w:rsidRPr="007A2EA9" w:rsidRDefault="00B62D03" w:rsidP="00B62D03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Vignette t</w:t>
                            </w:r>
                            <w:r w:rsidRPr="007A2EA9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hemes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7B391B" id="Rectangle: Rounded Corners 15" o:spid="_x0000_s1026" style="position:absolute;left:0;text-align:left;margin-left:44.85pt;margin-top:9.45pt;width:387.7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" fillcolor="#ffc000 [3207]" strokecolor="black [3213]" strokeweight="1pt">
                <v:stroke joinstyle="miter"/>
                <v:path arrowok="t"/>
                <v:textbox>
                  <w:txbxContent>
                    <w:p w14:paraId="6E8D22BD" w14:textId="3A52796A" w:rsidR="00B62D03" w:rsidRPr="007A2EA9" w:rsidRDefault="00B62D03" w:rsidP="00B62D03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Vignette t</w:t>
                      </w:r>
                      <w:r w:rsidRPr="007A2EA9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hemes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E3DEFE" w14:textId="77777777" w:rsidR="00B62D03" w:rsidRPr="005E1049" w:rsidRDefault="00B62D03" w:rsidP="00B62D03">
      <w:pPr>
        <w:spacing w:before="100" w:beforeAutospacing="1" w:after="200"/>
        <w:jc w:val="both"/>
        <w:rPr>
          <w:rFonts w:eastAsia="Calibri" w:cs="Arial"/>
          <w:bCs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F5B80" wp14:editId="4A85FEFD">
                <wp:simplePos x="0" y="0"/>
                <wp:positionH relativeFrom="column">
                  <wp:posOffset>1093470</wp:posOffset>
                </wp:positionH>
                <wp:positionV relativeFrom="paragraph">
                  <wp:posOffset>74930</wp:posOffset>
                </wp:positionV>
                <wp:extent cx="3886200" cy="1219200"/>
                <wp:effectExtent l="0" t="0" r="0" b="0"/>
                <wp:wrapNone/>
                <wp:docPr id="238324429" name="Rectangle: Rounded Corner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86200" cy="121920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4237E" w14:textId="77777777" w:rsidR="00B62D03" w:rsidRPr="008C7768" w:rsidRDefault="00B62D03" w:rsidP="00B62D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T</w:t>
                            </w:r>
                            <w:r w:rsidRPr="008C77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eaching methods and strategies</w:t>
                            </w:r>
                          </w:p>
                          <w:p w14:paraId="2ED29C0D" w14:textId="77777777" w:rsidR="00B62D03" w:rsidRDefault="00B62D03" w:rsidP="00B62D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8C77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Availability of 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teaching and learning </w:t>
                            </w:r>
                            <w:r w:rsidRPr="008C77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resources</w:t>
                            </w:r>
                          </w:p>
                          <w:p w14:paraId="60B95B30" w14:textId="77777777" w:rsidR="00B62D03" w:rsidRDefault="00B62D03" w:rsidP="00B62D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8C77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Provision of academic support </w:t>
                            </w:r>
                          </w:p>
                          <w:p w14:paraId="41EC30AE" w14:textId="77777777" w:rsidR="00B62D03" w:rsidRPr="008C7768" w:rsidRDefault="00B62D03" w:rsidP="00B62D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8C77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Preparation of 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Grade 12 </w:t>
                            </w:r>
                            <w:r w:rsidRPr="008C77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learners for the journey ahead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9F5B80" id="Rectangle: Rounded Corners 14" o:spid="_x0000_s1027" style="position:absolute;left:0;text-align:left;margin-left:86.1pt;margin-top:5.9pt;width:306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" fillcolor="#ffe599 [1303]" strokecolor="black [3213]" strokeweight="1pt">
                <v:stroke joinstyle="miter"/>
                <v:path arrowok="t"/>
                <v:textbox>
                  <w:txbxContent>
                    <w:p w14:paraId="7904237E" w14:textId="77777777" w:rsidR="00B62D03" w:rsidRPr="008C7768" w:rsidRDefault="00B62D03" w:rsidP="00B62D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T</w:t>
                      </w:r>
                      <w:r w:rsidRPr="008C7768">
                        <w:rPr>
                          <w:rFonts w:ascii="Arial Narrow" w:hAnsi="Arial Narrow"/>
                          <w:sz w:val="24"/>
                          <w:szCs w:val="24"/>
                        </w:rPr>
                        <w:t>eaching methods and strategies</w:t>
                      </w:r>
                    </w:p>
                    <w:p w14:paraId="2ED29C0D" w14:textId="77777777" w:rsidR="00B62D03" w:rsidRDefault="00B62D03" w:rsidP="00B62D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8C7768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Availability of 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teaching and learning </w:t>
                      </w:r>
                      <w:r w:rsidRPr="008C7768">
                        <w:rPr>
                          <w:rFonts w:ascii="Arial Narrow" w:hAnsi="Arial Narrow"/>
                          <w:sz w:val="24"/>
                          <w:szCs w:val="24"/>
                        </w:rPr>
                        <w:t>resources</w:t>
                      </w:r>
                    </w:p>
                    <w:p w14:paraId="60B95B30" w14:textId="77777777" w:rsidR="00B62D03" w:rsidRDefault="00B62D03" w:rsidP="00B62D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8C7768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Provision of academic support </w:t>
                      </w:r>
                    </w:p>
                    <w:p w14:paraId="41EC30AE" w14:textId="77777777" w:rsidR="00B62D03" w:rsidRPr="008C7768" w:rsidRDefault="00B62D03" w:rsidP="00B62D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8C7768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Preparation of 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Grade 12 </w:t>
                      </w:r>
                      <w:r w:rsidRPr="008C7768">
                        <w:rPr>
                          <w:rFonts w:ascii="Arial Narrow" w:hAnsi="Arial Narrow"/>
                          <w:sz w:val="24"/>
                          <w:szCs w:val="24"/>
                        </w:rPr>
                        <w:t>learners for the journey ahead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EE91E9" w14:textId="77777777" w:rsidR="00B62D03" w:rsidRPr="005E1049" w:rsidRDefault="00B62D03" w:rsidP="00B62D03">
      <w:pPr>
        <w:spacing w:before="100" w:beforeAutospacing="1" w:after="200"/>
        <w:jc w:val="both"/>
        <w:rPr>
          <w:rFonts w:eastAsia="Calibri" w:cs="Arial"/>
          <w:bCs/>
          <w:color w:val="000000" w:themeColor="text1"/>
        </w:rPr>
      </w:pPr>
    </w:p>
    <w:p w14:paraId="6D60771A" w14:textId="77777777" w:rsidR="00B62D03" w:rsidRPr="005E1049" w:rsidRDefault="00B62D03" w:rsidP="00B62D03">
      <w:pPr>
        <w:spacing w:before="100" w:beforeAutospacing="1" w:after="200"/>
        <w:jc w:val="both"/>
        <w:rPr>
          <w:rFonts w:eastAsia="Calibri" w:cs="Arial"/>
          <w:bCs/>
          <w:color w:val="000000" w:themeColor="text1"/>
        </w:rPr>
      </w:pPr>
    </w:p>
    <w:p w14:paraId="28C60A05" w14:textId="77777777" w:rsidR="00B62D03" w:rsidRPr="002D3BB9" w:rsidRDefault="00B62D03" w:rsidP="00B62D03">
      <w:pPr>
        <w:spacing w:before="100" w:beforeAutospacing="1" w:after="200"/>
        <w:jc w:val="both"/>
        <w:rPr>
          <w:rFonts w:eastAsia="Calibri" w:cs="Arial"/>
          <w:b/>
          <w:color w:val="000000" w:themeColor="text1"/>
          <w:sz w:val="8"/>
          <w:szCs w:val="8"/>
        </w:rPr>
      </w:pPr>
    </w:p>
    <w:p w14:paraId="10C17462" w14:textId="77777777" w:rsidR="00000000" w:rsidRDefault="00000000"/>
    <w:sectPr w:rsidR="00C832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F6E58"/>
    <w:multiLevelType w:val="hybridMultilevel"/>
    <w:tmpl w:val="60BECB50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D72090"/>
    <w:multiLevelType w:val="hybridMultilevel"/>
    <w:tmpl w:val="948AF50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776953">
    <w:abstractNumId w:val="0"/>
  </w:num>
  <w:num w:numId="2" w16cid:durableId="875115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03"/>
    <w:rsid w:val="00244B74"/>
    <w:rsid w:val="005B77AA"/>
    <w:rsid w:val="00B14EC6"/>
    <w:rsid w:val="00B6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FC3928"/>
  <w15:chartTrackingRefBased/>
  <w15:docId w15:val="{3D5B282C-FEE6-4589-9837-5BDC99E5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D03"/>
    <w:pPr>
      <w:spacing w:line="360" w:lineRule="auto"/>
    </w:pPr>
    <w:rPr>
      <w:rFonts w:ascii="Arial" w:hAnsi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B62D03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1"/>
    <w:qFormat/>
    <w:rsid w:val="00B62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Modiba</dc:creator>
  <cp:keywords/>
  <dc:description/>
  <cp:lastModifiedBy>Rosa Modiba</cp:lastModifiedBy>
  <cp:revision>1</cp:revision>
  <dcterms:created xsi:type="dcterms:W3CDTF">2023-11-30T11:56:00Z</dcterms:created>
  <dcterms:modified xsi:type="dcterms:W3CDTF">2023-11-30T12:01:00Z</dcterms:modified>
</cp:coreProperties>
</file>