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4BDDE" w14:textId="3C635642" w:rsidR="00370F09" w:rsidRDefault="00370F09" w:rsidP="0027185D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Toc184607127"/>
      <w:r w:rsidRPr="0027185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Chapter 4</w:t>
      </w:r>
      <w:bookmarkEnd w:id="0"/>
      <w:r w:rsidR="00110BC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– Results dataset</w:t>
      </w:r>
    </w:p>
    <w:p w14:paraId="5422E15F" w14:textId="77777777" w:rsidR="00110BCB" w:rsidRPr="00110BCB" w:rsidRDefault="00110BCB" w:rsidP="00110BCB"/>
    <w:p w14:paraId="61C2CC8C" w14:textId="1AEAAE0B" w:rsidR="003102B3" w:rsidRDefault="00110BCB" w:rsidP="00110BCB">
      <w:pPr>
        <w:jc w:val="center"/>
      </w:pPr>
      <w:r w:rsidRPr="00F83968">
        <w:t>All data has been electronically stored in the Department of Plant and Soil Sciences.</w:t>
      </w:r>
    </w:p>
    <w:p w14:paraId="46F08A61" w14:textId="77777777" w:rsidR="00110BCB" w:rsidRPr="00110BCB" w:rsidRDefault="00110BCB" w:rsidP="00110BCB">
      <w:pPr>
        <w:jc w:val="center"/>
      </w:pPr>
    </w:p>
    <w:p w14:paraId="70D4E442" w14:textId="031BE37C" w:rsidR="00370F09" w:rsidRPr="00FB5302" w:rsidRDefault="009E2004" w:rsidP="00CE3567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" w:name="_Toc184607128"/>
      <w:r w:rsidRPr="009E2004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Cryptosporidium</w:t>
      </w:r>
      <w:r w:rsidR="00370F09" w:rsidRPr="00FB530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FA460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</w:t>
      </w:r>
      <w:r w:rsidR="00370F09" w:rsidRPr="00FB530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revalence in </w:t>
      </w:r>
      <w:r w:rsidR="00FA460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W</w:t>
      </w:r>
      <w:r w:rsidR="00370F09" w:rsidRPr="00FB530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ater, </w:t>
      </w:r>
      <w:r w:rsidR="00FA460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</w:t>
      </w:r>
      <w:r w:rsidR="00370F09" w:rsidRPr="00FB530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oil</w:t>
      </w:r>
      <w:r w:rsidR="00426A4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</w:t>
      </w:r>
      <w:r w:rsidR="00370F09" w:rsidRPr="00FB530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and </w:t>
      </w:r>
      <w:r w:rsidR="00FA460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F</w:t>
      </w:r>
      <w:r w:rsidR="00370F09" w:rsidRPr="00FB530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resh </w:t>
      </w:r>
      <w:r w:rsidR="00FA460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P</w:t>
      </w:r>
      <w:r w:rsidR="00370F09" w:rsidRPr="00FB530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roduce</w:t>
      </w:r>
      <w:bookmarkEnd w:id="1"/>
    </w:p>
    <w:p w14:paraId="4F080BD2" w14:textId="77777777" w:rsidR="00EC3EC3" w:rsidRDefault="00EC3E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FB551" w14:textId="3A60EFF5" w:rsidR="00EC3EC3" w:rsidRPr="005E132A" w:rsidRDefault="000D6592" w:rsidP="00362FE6">
      <w:pPr>
        <w:pStyle w:val="Heading3"/>
        <w:spacing w:before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bookmarkStart w:id="2" w:name="_Toc184607139"/>
      <w:r w:rsidRPr="005E132A">
        <w:rPr>
          <w:rFonts w:ascii="Times New Roman" w:hAnsi="Times New Roman" w:cs="Times New Roman"/>
          <w:b/>
          <w:bCs/>
          <w:color w:val="000000" w:themeColor="text1"/>
        </w:rPr>
        <w:t xml:space="preserve">4.3.1 Occurrence of </w:t>
      </w:r>
      <w:r w:rsidR="009E2004" w:rsidRPr="009E2004">
        <w:rPr>
          <w:rFonts w:ascii="Times New Roman" w:hAnsi="Times New Roman" w:cs="Times New Roman"/>
          <w:b/>
          <w:bCs/>
          <w:i/>
          <w:color w:val="000000" w:themeColor="text1"/>
        </w:rPr>
        <w:t>Cryptosporidium</w:t>
      </w:r>
      <w:r w:rsidRPr="005E132A">
        <w:rPr>
          <w:rFonts w:ascii="Times New Roman" w:hAnsi="Times New Roman" w:cs="Times New Roman"/>
          <w:b/>
          <w:bCs/>
          <w:color w:val="000000" w:themeColor="text1"/>
        </w:rPr>
        <w:t xml:space="preserve"> in water samples</w:t>
      </w:r>
      <w:bookmarkEnd w:id="2"/>
    </w:p>
    <w:p w14:paraId="66AA68F2" w14:textId="4FC90108" w:rsidR="00EC3EC3" w:rsidRDefault="009E2004" w:rsidP="00F733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004">
        <w:rPr>
          <w:rFonts w:ascii="Times New Roman" w:hAnsi="Times New Roman" w:cs="Times New Roman"/>
          <w:i/>
          <w:sz w:val="24"/>
          <w:szCs w:val="24"/>
        </w:rPr>
        <w:t>Cryptosporidium</w:t>
      </w:r>
      <w:r w:rsidR="000D6592">
        <w:rPr>
          <w:rFonts w:ascii="Times New Roman" w:hAnsi="Times New Roman" w:cs="Times New Roman"/>
          <w:sz w:val="24"/>
          <w:szCs w:val="24"/>
        </w:rPr>
        <w:t xml:space="preserve"> was not detected using </w:t>
      </w:r>
      <w:r w:rsidR="00B6561F">
        <w:rPr>
          <w:rFonts w:ascii="Times New Roman" w:hAnsi="Times New Roman" w:cs="Times New Roman"/>
          <w:sz w:val="24"/>
          <w:szCs w:val="24"/>
        </w:rPr>
        <w:t>r</w:t>
      </w:r>
      <w:r w:rsidR="000D6592">
        <w:rPr>
          <w:rFonts w:ascii="Times New Roman" w:hAnsi="Times New Roman" w:cs="Times New Roman"/>
          <w:sz w:val="24"/>
          <w:szCs w:val="24"/>
        </w:rPr>
        <w:t>eal-time PCR, however</w:t>
      </w:r>
      <w:r w:rsidR="00105AAE">
        <w:rPr>
          <w:rFonts w:ascii="Times New Roman" w:hAnsi="Times New Roman" w:cs="Times New Roman"/>
          <w:sz w:val="24"/>
          <w:szCs w:val="24"/>
        </w:rPr>
        <w:t>,</w:t>
      </w:r>
      <w:r w:rsidR="000D6592">
        <w:rPr>
          <w:rFonts w:ascii="Times New Roman" w:hAnsi="Times New Roman" w:cs="Times New Roman"/>
          <w:sz w:val="24"/>
          <w:szCs w:val="24"/>
        </w:rPr>
        <w:t xml:space="preserve"> out of 22 processed water samples, three samples (13.6%) tested positive for </w:t>
      </w:r>
      <w:r w:rsidRPr="009E2004">
        <w:rPr>
          <w:rFonts w:ascii="Times New Roman" w:hAnsi="Times New Roman" w:cs="Times New Roman"/>
          <w:i/>
          <w:sz w:val="24"/>
          <w:szCs w:val="24"/>
        </w:rPr>
        <w:t>Cryptosporidium</w:t>
      </w:r>
      <w:r w:rsidR="000D6592">
        <w:rPr>
          <w:rFonts w:ascii="Times New Roman" w:hAnsi="Times New Roman" w:cs="Times New Roman"/>
          <w:sz w:val="24"/>
          <w:szCs w:val="24"/>
        </w:rPr>
        <w:t xml:space="preserve"> oocysts using ddPCR</w:t>
      </w:r>
      <w:r w:rsidR="000D6592">
        <w:rPr>
          <w:rFonts w:ascii="Times New Roman" w:hAnsi="Times New Roman" w:cs="Times New Roman"/>
          <w:sz w:val="24"/>
          <w:szCs w:val="24"/>
          <w:lang w:val="en-ZA"/>
        </w:rPr>
        <w:t xml:space="preserve">. </w:t>
      </w:r>
      <w:r w:rsidR="000D6592">
        <w:rPr>
          <w:rFonts w:ascii="Times New Roman" w:hAnsi="Times New Roman" w:cs="Times New Roman"/>
          <w:sz w:val="24"/>
          <w:szCs w:val="24"/>
        </w:rPr>
        <w:t>The farms utili</w:t>
      </w:r>
      <w:r w:rsidR="00B6561F">
        <w:rPr>
          <w:rFonts w:ascii="Times New Roman" w:hAnsi="Times New Roman" w:cs="Times New Roman"/>
          <w:sz w:val="24"/>
          <w:szCs w:val="24"/>
        </w:rPr>
        <w:t>s</w:t>
      </w:r>
      <w:r w:rsidR="000D6592">
        <w:rPr>
          <w:rFonts w:ascii="Times New Roman" w:hAnsi="Times New Roman" w:cs="Times New Roman"/>
          <w:sz w:val="24"/>
          <w:szCs w:val="24"/>
        </w:rPr>
        <w:t xml:space="preserve">ed different water sources: three farms used borehole water, three used surface </w:t>
      </w:r>
      <w:proofErr w:type="gramStart"/>
      <w:r w:rsidR="000D6592">
        <w:rPr>
          <w:rFonts w:ascii="Times New Roman" w:hAnsi="Times New Roman" w:cs="Times New Roman"/>
          <w:sz w:val="24"/>
          <w:szCs w:val="24"/>
        </w:rPr>
        <w:t>water</w:t>
      </w:r>
      <w:proofErr w:type="gramEnd"/>
      <w:r w:rsidR="000D6592">
        <w:rPr>
          <w:rFonts w:ascii="Times New Roman" w:hAnsi="Times New Roman" w:cs="Times New Roman"/>
          <w:sz w:val="24"/>
          <w:szCs w:val="24"/>
        </w:rPr>
        <w:t>, and one relied on municipal supply. Contamination was detected only at the water sources of Farm C (borehole water) in 50%</w:t>
      </w:r>
      <w:r w:rsidR="00EC5C7C">
        <w:rPr>
          <w:rFonts w:ascii="Times New Roman" w:hAnsi="Times New Roman" w:cs="Times New Roman"/>
          <w:sz w:val="24"/>
          <w:szCs w:val="24"/>
        </w:rPr>
        <w:t xml:space="preserve"> (1</w:t>
      </w:r>
      <w:r w:rsidR="00656636">
        <w:rPr>
          <w:rFonts w:ascii="Times New Roman" w:hAnsi="Times New Roman" w:cs="Times New Roman"/>
          <w:sz w:val="24"/>
          <w:szCs w:val="24"/>
        </w:rPr>
        <w:t>/2)</w:t>
      </w:r>
      <w:r w:rsidR="000D6592">
        <w:rPr>
          <w:rFonts w:ascii="Times New Roman" w:hAnsi="Times New Roman" w:cs="Times New Roman"/>
          <w:sz w:val="24"/>
          <w:szCs w:val="24"/>
        </w:rPr>
        <w:t xml:space="preserve"> of the samples and Farm E (surface water from a dam) in 100%</w:t>
      </w:r>
      <w:r w:rsidR="00656636">
        <w:rPr>
          <w:rFonts w:ascii="Times New Roman" w:hAnsi="Times New Roman" w:cs="Times New Roman"/>
          <w:sz w:val="24"/>
          <w:szCs w:val="24"/>
        </w:rPr>
        <w:t xml:space="preserve"> (2/2)</w:t>
      </w:r>
      <w:r w:rsidR="000D6592">
        <w:rPr>
          <w:rFonts w:ascii="Times New Roman" w:hAnsi="Times New Roman" w:cs="Times New Roman"/>
          <w:sz w:val="24"/>
          <w:szCs w:val="24"/>
        </w:rPr>
        <w:t xml:space="preserve"> of the samples; </w:t>
      </w:r>
      <w:r w:rsidRPr="009E2004">
        <w:rPr>
          <w:rFonts w:ascii="Times New Roman" w:hAnsi="Times New Roman" w:cs="Times New Roman"/>
          <w:i/>
          <w:iCs/>
          <w:sz w:val="24"/>
          <w:szCs w:val="24"/>
        </w:rPr>
        <w:t>Cryptosporidium</w:t>
      </w:r>
      <w:r w:rsidR="000D6592">
        <w:rPr>
          <w:rFonts w:ascii="Times New Roman" w:hAnsi="Times New Roman" w:cs="Times New Roman"/>
          <w:sz w:val="24"/>
          <w:szCs w:val="24"/>
        </w:rPr>
        <w:t xml:space="preserve"> was not detected at the irrigation points (Figure </w:t>
      </w:r>
      <w:r w:rsidR="0008732F">
        <w:rPr>
          <w:rFonts w:ascii="Times New Roman" w:hAnsi="Times New Roman" w:cs="Times New Roman"/>
          <w:sz w:val="24"/>
          <w:szCs w:val="24"/>
        </w:rPr>
        <w:t>4.</w:t>
      </w:r>
      <w:r w:rsidR="000D6592">
        <w:rPr>
          <w:rFonts w:ascii="Times New Roman" w:hAnsi="Times New Roman" w:cs="Times New Roman"/>
          <w:sz w:val="24"/>
          <w:szCs w:val="24"/>
        </w:rPr>
        <w:t xml:space="preserve">3). </w:t>
      </w:r>
    </w:p>
    <w:p w14:paraId="33066E9D" w14:textId="77777777" w:rsidR="000B52A9" w:rsidRDefault="000D6592" w:rsidP="000B52A9">
      <w:pPr>
        <w:keepNext/>
        <w:spacing w:after="0" w:line="360" w:lineRule="auto"/>
        <w:jc w:val="both"/>
      </w:pPr>
      <w:r>
        <w:rPr>
          <w:noProof/>
        </w:rPr>
        <w:drawing>
          <wp:inline distT="0" distB="0" distL="0" distR="0" wp14:anchorId="7A5324BE" wp14:editId="7D61B98A">
            <wp:extent cx="5747385" cy="3323590"/>
            <wp:effectExtent l="0" t="0" r="5715" b="1016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5C5F58C" w14:textId="4CBA8BA8" w:rsidR="000B52A9" w:rsidRDefault="000B52A9" w:rsidP="000B52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184498086"/>
      <w:r>
        <w:rPr>
          <w:rFonts w:ascii="Times New Roman" w:hAnsi="Times New Roman" w:cs="Times New Roman"/>
          <w:b/>
          <w:bCs/>
          <w:sz w:val="24"/>
          <w:szCs w:val="24"/>
        </w:rPr>
        <w:t>Figure 4.3:</w:t>
      </w:r>
      <w:r>
        <w:rPr>
          <w:rFonts w:ascii="Times New Roman" w:hAnsi="Times New Roman" w:cs="Times New Roman"/>
          <w:sz w:val="24"/>
          <w:szCs w:val="24"/>
        </w:rPr>
        <w:t xml:space="preserve"> Proportion of </w:t>
      </w:r>
      <w:r w:rsidR="009E2004" w:rsidRPr="009E2004">
        <w:rPr>
          <w:rFonts w:ascii="Times New Roman" w:hAnsi="Times New Roman" w:cs="Times New Roman"/>
          <w:i/>
          <w:iCs/>
          <w:sz w:val="24"/>
          <w:szCs w:val="24"/>
        </w:rPr>
        <w:t>Cryptosporidium</w:t>
      </w:r>
      <w:r>
        <w:rPr>
          <w:rFonts w:ascii="Times New Roman" w:hAnsi="Times New Roman" w:cs="Times New Roman"/>
          <w:sz w:val="24"/>
          <w:szCs w:val="24"/>
        </w:rPr>
        <w:t> contaminated water samples.</w:t>
      </w:r>
      <w:bookmarkEnd w:id="3"/>
    </w:p>
    <w:p w14:paraId="69ADED28" w14:textId="77777777" w:rsidR="00EC3EC3" w:rsidRDefault="00EC3EC3" w:rsidP="00DE56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48EC9" w14:textId="77777777" w:rsidR="009A77A9" w:rsidRDefault="009A77A9" w:rsidP="00DE56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F11E37" w14:textId="77777777" w:rsidR="009A77A9" w:rsidRDefault="009A77A9" w:rsidP="00DE56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6FF92A" w14:textId="0CF911AE" w:rsidR="00EC3EC3" w:rsidRPr="005E132A" w:rsidRDefault="000D6592" w:rsidP="00362FE6">
      <w:pPr>
        <w:pStyle w:val="Heading3"/>
        <w:spacing w:before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bookmarkStart w:id="4" w:name="_Toc184607140"/>
      <w:r w:rsidRPr="005E132A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4.3.2 Occurrence of </w:t>
      </w:r>
      <w:r w:rsidR="009E2004" w:rsidRPr="009E2004">
        <w:rPr>
          <w:rFonts w:ascii="Times New Roman" w:hAnsi="Times New Roman" w:cs="Times New Roman"/>
          <w:b/>
          <w:bCs/>
          <w:i/>
          <w:color w:val="000000" w:themeColor="text1"/>
        </w:rPr>
        <w:t>Cryptosporidium</w:t>
      </w:r>
      <w:r w:rsidRPr="005E132A">
        <w:rPr>
          <w:rFonts w:ascii="Times New Roman" w:hAnsi="Times New Roman" w:cs="Times New Roman"/>
          <w:b/>
          <w:bCs/>
          <w:color w:val="000000" w:themeColor="text1"/>
        </w:rPr>
        <w:t xml:space="preserve"> in soil</w:t>
      </w:r>
      <w:bookmarkEnd w:id="4"/>
    </w:p>
    <w:p w14:paraId="18F42ACB" w14:textId="7982AACB" w:rsidR="00EC3EC3" w:rsidRDefault="009E200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004">
        <w:rPr>
          <w:rFonts w:ascii="Times New Roman" w:hAnsi="Times New Roman" w:cs="Times New Roman"/>
          <w:i/>
          <w:sz w:val="24"/>
          <w:szCs w:val="24"/>
        </w:rPr>
        <w:t>Cryptosporidium</w:t>
      </w:r>
      <w:r w:rsidR="000D6592">
        <w:rPr>
          <w:rFonts w:ascii="Times New Roman" w:hAnsi="Times New Roman" w:cs="Times New Roman"/>
          <w:sz w:val="24"/>
          <w:szCs w:val="24"/>
        </w:rPr>
        <w:t xml:space="preserve"> was not detected using real-time PCR, however, out of 90 processed soil samples, 21 (23.3%) tested positive for </w:t>
      </w:r>
      <w:r w:rsidRPr="009E2004">
        <w:rPr>
          <w:rFonts w:ascii="Times New Roman" w:hAnsi="Times New Roman" w:cs="Times New Roman"/>
          <w:i/>
          <w:sz w:val="24"/>
          <w:szCs w:val="24"/>
        </w:rPr>
        <w:t>Cryptosporidium</w:t>
      </w:r>
      <w:r w:rsidR="000D6592">
        <w:rPr>
          <w:rFonts w:ascii="Times New Roman" w:hAnsi="Times New Roman" w:cs="Times New Roman"/>
          <w:sz w:val="24"/>
          <w:szCs w:val="24"/>
        </w:rPr>
        <w:t xml:space="preserve"> oocysts using ddPCR, which included six of the seven farms tested. The percentage of positive samples based on different fertili</w:t>
      </w:r>
      <w:r w:rsidR="00E87A1B">
        <w:rPr>
          <w:rFonts w:ascii="Times New Roman" w:hAnsi="Times New Roman" w:cs="Times New Roman"/>
          <w:sz w:val="24"/>
          <w:szCs w:val="24"/>
        </w:rPr>
        <w:t>s</w:t>
      </w:r>
      <w:r w:rsidR="000D6592">
        <w:rPr>
          <w:rFonts w:ascii="Times New Roman" w:hAnsi="Times New Roman" w:cs="Times New Roman"/>
          <w:sz w:val="24"/>
          <w:szCs w:val="24"/>
        </w:rPr>
        <w:t xml:space="preserve">er amendments—manure, </w:t>
      </w:r>
      <w:r w:rsidR="000D6592">
        <w:rPr>
          <w:rFonts w:ascii="Times New Roman" w:hAnsi="Times New Roman" w:cs="Times New Roman"/>
          <w:sz w:val="24"/>
          <w:szCs w:val="24"/>
          <w:lang w:val="en-ZA"/>
        </w:rPr>
        <w:t>plant-based</w:t>
      </w:r>
      <w:r w:rsidR="000D6592">
        <w:rPr>
          <w:rFonts w:ascii="Times New Roman" w:hAnsi="Times New Roman" w:cs="Times New Roman"/>
          <w:sz w:val="24"/>
          <w:szCs w:val="24"/>
        </w:rPr>
        <w:t xml:space="preserve">, commercially available (chemical), or untreated—is illustrated in Figure </w:t>
      </w:r>
      <w:r w:rsidR="0008732F">
        <w:rPr>
          <w:rFonts w:ascii="Times New Roman" w:hAnsi="Times New Roman" w:cs="Times New Roman"/>
          <w:sz w:val="24"/>
          <w:szCs w:val="24"/>
        </w:rPr>
        <w:t>4.</w:t>
      </w:r>
      <w:r w:rsidR="000D6592">
        <w:rPr>
          <w:rFonts w:ascii="Times New Roman" w:hAnsi="Times New Roman" w:cs="Times New Roman"/>
          <w:sz w:val="24"/>
          <w:szCs w:val="24"/>
        </w:rPr>
        <w:t>4. The highest number of positive samples was observed in soil amended with a combination of commercial fertili</w:t>
      </w:r>
      <w:r w:rsidR="00B6561F">
        <w:rPr>
          <w:rFonts w:ascii="Times New Roman" w:hAnsi="Times New Roman" w:cs="Times New Roman"/>
          <w:sz w:val="24"/>
          <w:szCs w:val="24"/>
        </w:rPr>
        <w:t>s</w:t>
      </w:r>
      <w:r w:rsidR="000D6592">
        <w:rPr>
          <w:rFonts w:ascii="Times New Roman" w:hAnsi="Times New Roman" w:cs="Times New Roman"/>
          <w:sz w:val="24"/>
          <w:szCs w:val="24"/>
        </w:rPr>
        <w:t xml:space="preserve">er and manure (n=9, 10%), followed by manure only (n=6, 6.3%), plant-based (n=4, 4.4%), and untreated soil (n=2, 2.1%). Overall, Farm G had the highest number of samples that tested positive for </w:t>
      </w:r>
      <w:r w:rsidRPr="009E2004">
        <w:rPr>
          <w:rFonts w:ascii="Times New Roman" w:hAnsi="Times New Roman" w:cs="Times New Roman"/>
          <w:i/>
          <w:iCs/>
          <w:sz w:val="24"/>
          <w:szCs w:val="24"/>
        </w:rPr>
        <w:t>Cryptosporidium</w:t>
      </w:r>
      <w:r w:rsidR="000D6592">
        <w:rPr>
          <w:rFonts w:ascii="Times New Roman" w:hAnsi="Times New Roman" w:cs="Times New Roman"/>
          <w:sz w:val="24"/>
          <w:szCs w:val="24"/>
        </w:rPr>
        <w:t xml:space="preserve"> (3/5, 60%), followed by Farm F (6/15, 40%), with both farms using a combination of manure (chicken and cow, and chicken, respectively) and chemical fertili</w:t>
      </w:r>
      <w:r w:rsidR="00E87A1B">
        <w:rPr>
          <w:rFonts w:ascii="Times New Roman" w:hAnsi="Times New Roman" w:cs="Times New Roman"/>
          <w:sz w:val="24"/>
          <w:szCs w:val="24"/>
        </w:rPr>
        <w:t>s</w:t>
      </w:r>
      <w:r w:rsidR="000D6592">
        <w:rPr>
          <w:rFonts w:ascii="Times New Roman" w:hAnsi="Times New Roman" w:cs="Times New Roman"/>
          <w:sz w:val="24"/>
          <w:szCs w:val="24"/>
        </w:rPr>
        <w:t>er. Farm E showed a lower number of samples testing positive (5/15</w:t>
      </w:r>
      <w:r w:rsidR="0029539B">
        <w:rPr>
          <w:rFonts w:ascii="Times New Roman" w:hAnsi="Times New Roman" w:cs="Times New Roman"/>
          <w:sz w:val="24"/>
          <w:szCs w:val="24"/>
        </w:rPr>
        <w:t>, 33.3%</w:t>
      </w:r>
      <w:r w:rsidR="000D6592">
        <w:rPr>
          <w:rFonts w:ascii="Times New Roman" w:hAnsi="Times New Roman" w:cs="Times New Roman"/>
          <w:sz w:val="24"/>
          <w:szCs w:val="24"/>
        </w:rPr>
        <w:t>), followed by Farm C (4/15, 26.7%), Farm D (2/20, 10%), and Farm B (1/15, 6.7%). No soil samples tested positive on Farm A. The concentration of</w:t>
      </w:r>
      <w:r w:rsidR="000D65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E2004">
        <w:rPr>
          <w:rFonts w:ascii="Times New Roman" w:hAnsi="Times New Roman" w:cs="Times New Roman"/>
          <w:i/>
          <w:iCs/>
          <w:sz w:val="24"/>
          <w:szCs w:val="24"/>
        </w:rPr>
        <w:t>Cryptosporidium</w:t>
      </w:r>
      <w:r w:rsidR="000D6592">
        <w:rPr>
          <w:rFonts w:ascii="Times New Roman" w:hAnsi="Times New Roman" w:cs="Times New Roman"/>
          <w:sz w:val="24"/>
          <w:szCs w:val="24"/>
        </w:rPr>
        <w:t xml:space="preserve"> oocysts in soil from each farm is shown in Table </w:t>
      </w:r>
      <w:r w:rsidR="00B54C58">
        <w:rPr>
          <w:rFonts w:ascii="Times New Roman" w:hAnsi="Times New Roman" w:cs="Times New Roman"/>
          <w:sz w:val="24"/>
          <w:szCs w:val="24"/>
        </w:rPr>
        <w:t>4.</w:t>
      </w:r>
      <w:r w:rsidR="000D6592">
        <w:rPr>
          <w:rFonts w:ascii="Times New Roman" w:hAnsi="Times New Roman" w:cs="Times New Roman"/>
          <w:sz w:val="24"/>
          <w:szCs w:val="24"/>
        </w:rPr>
        <w:t xml:space="preserve">3. </w:t>
      </w:r>
    </w:p>
    <w:p w14:paraId="292F1124" w14:textId="77777777" w:rsidR="003D2082" w:rsidRDefault="003D20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16B3F5" w14:textId="77777777" w:rsidR="00C51670" w:rsidRDefault="000D6592" w:rsidP="00C51670">
      <w:pPr>
        <w:keepNext/>
        <w:spacing w:after="0" w:line="360" w:lineRule="auto"/>
        <w:jc w:val="both"/>
      </w:pPr>
      <w:r>
        <w:rPr>
          <w:noProof/>
        </w:rPr>
        <w:drawing>
          <wp:inline distT="0" distB="0" distL="0" distR="0" wp14:anchorId="6ADDB178" wp14:editId="4CC5F0BA">
            <wp:extent cx="5576570" cy="3657600"/>
            <wp:effectExtent l="0" t="0" r="508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A1A6291" w14:textId="1F93E4CE" w:rsidR="00EC3EC3" w:rsidRDefault="00C51670" w:rsidP="00C516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84498087"/>
      <w:r>
        <w:rPr>
          <w:rFonts w:ascii="Times New Roman" w:hAnsi="Times New Roman" w:cs="Times New Roman"/>
          <w:b/>
          <w:bCs/>
          <w:sz w:val="24"/>
          <w:szCs w:val="24"/>
        </w:rPr>
        <w:t>Figure 4.4:</w:t>
      </w:r>
      <w:r>
        <w:rPr>
          <w:rFonts w:ascii="Times New Roman" w:hAnsi="Times New Roman" w:cs="Times New Roman"/>
          <w:sz w:val="24"/>
          <w:szCs w:val="24"/>
        </w:rPr>
        <w:t xml:space="preserve"> Proportion of soil samples contaminated with </w:t>
      </w:r>
      <w:r w:rsidR="009E2004" w:rsidRPr="009E2004">
        <w:rPr>
          <w:rFonts w:ascii="Times New Roman" w:hAnsi="Times New Roman" w:cs="Times New Roman"/>
          <w:i/>
          <w:iCs/>
          <w:sz w:val="24"/>
          <w:szCs w:val="24"/>
        </w:rPr>
        <w:t>Cryptosporidium</w:t>
      </w:r>
      <w:r>
        <w:rPr>
          <w:rFonts w:ascii="Times New Roman" w:hAnsi="Times New Roman" w:cs="Times New Roman"/>
          <w:sz w:val="24"/>
          <w:szCs w:val="24"/>
        </w:rPr>
        <w:t xml:space="preserve"> on each farm.</w:t>
      </w:r>
      <w:bookmarkEnd w:id="5"/>
    </w:p>
    <w:p w14:paraId="603A7088" w14:textId="77777777" w:rsidR="00110BCB" w:rsidRDefault="00110B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97F1A2" w14:textId="77777777" w:rsidR="009A77A9" w:rsidRDefault="009A77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5EF37" w14:textId="77777777" w:rsidR="009A77A9" w:rsidRDefault="009A77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25B4D" w14:textId="0270DBD7" w:rsidR="00A97BAF" w:rsidRPr="004D1E3B" w:rsidRDefault="00A97BAF" w:rsidP="004D1E3B">
      <w:pPr>
        <w:pStyle w:val="Caption"/>
        <w:keepNext/>
        <w:jc w:val="both"/>
        <w:rPr>
          <w:i w:val="0"/>
          <w:iCs w:val="0"/>
          <w:color w:val="000000" w:themeColor="text1"/>
        </w:rPr>
      </w:pPr>
      <w:bookmarkStart w:id="6" w:name="_Toc184498072"/>
      <w:r w:rsidRPr="004D1E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lastRenderedPageBreak/>
        <w:t>Table 4.3</w:t>
      </w:r>
      <w:r w:rsidR="00E94B9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</w:t>
      </w:r>
      <w:r w:rsidRPr="004D1E3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Occurrence and concentration of </w:t>
      </w:r>
      <w:r w:rsidR="009E2004" w:rsidRPr="009E2004">
        <w:rPr>
          <w:rFonts w:ascii="Times New Roman" w:hAnsi="Times New Roman" w:cs="Times New Roman"/>
          <w:color w:val="000000" w:themeColor="text1"/>
          <w:sz w:val="24"/>
          <w:szCs w:val="24"/>
        </w:rPr>
        <w:t>Cryptosporidium</w:t>
      </w:r>
      <w:r w:rsidRPr="004D1E3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 oocyst</w:t>
      </w:r>
      <w:r w:rsidR="000E0EF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s</w:t>
      </w:r>
      <w:r w:rsidRPr="004D1E3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</w:t>
      </w:r>
      <w:r w:rsidR="000E0EF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in </w:t>
      </w:r>
      <w:r w:rsidRPr="004D1E3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soil from each farm</w:t>
      </w:r>
      <w:bookmarkEnd w:id="6"/>
    </w:p>
    <w:tbl>
      <w:tblPr>
        <w:tblStyle w:val="TableGrid"/>
        <w:tblW w:w="9004" w:type="dxa"/>
        <w:tblLook w:val="04A0" w:firstRow="1" w:lastRow="0" w:firstColumn="1" w:lastColumn="0" w:noHBand="0" w:noVBand="1"/>
      </w:tblPr>
      <w:tblGrid>
        <w:gridCol w:w="1191"/>
        <w:gridCol w:w="1132"/>
        <w:gridCol w:w="2324"/>
        <w:gridCol w:w="1068"/>
        <w:gridCol w:w="1364"/>
        <w:gridCol w:w="1925"/>
      </w:tblGrid>
      <w:tr w:rsidR="00EC3EC3" w14:paraId="7AE810F0" w14:textId="77777777" w:rsidTr="00A97BAF">
        <w:trPr>
          <w:trHeight w:val="845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FEAC1D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Sampling area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C1C871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Province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D77599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Type of Fresh Produce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6B4E6B3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Total number of samples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50329A2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Percentage of total “Positive”</w:t>
            </w:r>
          </w:p>
          <w:p w14:paraId="7561061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Samples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6328854" w14:textId="38F4F252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Average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8070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C</w:t>
            </w:r>
            <w:r w:rsidR="00EA7C3F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971C8" w:rsidRPr="000971C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parvum</w:t>
            </w:r>
          </w:p>
          <w:p w14:paraId="7BA4C35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copies/26ɥl reaction (ddPCR)</w:t>
            </w:r>
          </w:p>
        </w:tc>
      </w:tr>
      <w:tr w:rsidR="00EC3EC3" w14:paraId="1CDB097B" w14:textId="77777777" w:rsidTr="00A97BAF">
        <w:trPr>
          <w:trHeight w:val="301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ECA1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A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B946C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Gauteng</w:t>
            </w:r>
          </w:p>
        </w:tc>
        <w:tc>
          <w:tcPr>
            <w:tcW w:w="2324" w:type="dxa"/>
            <w:tcBorders>
              <w:top w:val="nil"/>
              <w:left w:val="nil"/>
              <w:bottom w:val="dashed" w:sz="4" w:space="0" w:color="000000"/>
              <w:right w:val="nil"/>
            </w:tcBorders>
            <w:vAlign w:val="center"/>
          </w:tcPr>
          <w:p w14:paraId="4279B253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(Kale field)</w:t>
            </w:r>
          </w:p>
        </w:tc>
        <w:tc>
          <w:tcPr>
            <w:tcW w:w="1068" w:type="dxa"/>
            <w:tcBorders>
              <w:top w:val="nil"/>
              <w:left w:val="nil"/>
              <w:bottom w:val="dashed" w:sz="4" w:space="0" w:color="000000"/>
              <w:right w:val="nil"/>
            </w:tcBorders>
            <w:vAlign w:val="center"/>
          </w:tcPr>
          <w:p w14:paraId="51BAF1B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nil"/>
              <w:left w:val="nil"/>
              <w:bottom w:val="dashed" w:sz="4" w:space="0" w:color="000000"/>
              <w:right w:val="nil"/>
            </w:tcBorders>
            <w:vAlign w:val="center"/>
          </w:tcPr>
          <w:p w14:paraId="0BD8ECD4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25" w:type="dxa"/>
            <w:tcBorders>
              <w:top w:val="nil"/>
              <w:left w:val="nil"/>
              <w:bottom w:val="dashed" w:sz="4" w:space="0" w:color="000000"/>
              <w:right w:val="nil"/>
            </w:tcBorders>
            <w:vAlign w:val="center"/>
          </w:tcPr>
          <w:p w14:paraId="1C023C9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EC3" w14:paraId="30B709D5" w14:textId="77777777" w:rsidTr="00A97BAF">
        <w:trPr>
          <w:trHeight w:val="20"/>
        </w:trPr>
        <w:tc>
          <w:tcPr>
            <w:tcW w:w="1191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1A0775F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B</w:t>
            </w:r>
          </w:p>
        </w:tc>
        <w:tc>
          <w:tcPr>
            <w:tcW w:w="1132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2B4687F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Gauteng</w:t>
            </w:r>
          </w:p>
        </w:tc>
        <w:tc>
          <w:tcPr>
            <w:tcW w:w="232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4BDAB76B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(Chinese spinach field)</w:t>
            </w:r>
          </w:p>
        </w:tc>
        <w:tc>
          <w:tcPr>
            <w:tcW w:w="1068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20BB4F8D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4CE7993B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5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6BEE516F" w14:textId="77777777" w:rsidR="00EC3EC3" w:rsidRDefault="000D65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0.025</w:t>
            </w:r>
          </w:p>
        </w:tc>
      </w:tr>
      <w:tr w:rsidR="00EC3EC3" w14:paraId="78F11516" w14:textId="77777777" w:rsidTr="00A97BAF">
        <w:trPr>
          <w:trHeight w:val="20"/>
        </w:trPr>
        <w:tc>
          <w:tcPr>
            <w:tcW w:w="11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1099E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AD90D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61C59BD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(Rape field)</w:t>
            </w:r>
          </w:p>
        </w:tc>
        <w:tc>
          <w:tcPr>
            <w:tcW w:w="106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74F96CC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1FD0474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25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144A141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EC3" w14:paraId="6BEAEC0D" w14:textId="77777777" w:rsidTr="00A97BAF">
        <w:trPr>
          <w:trHeight w:val="20"/>
        </w:trPr>
        <w:tc>
          <w:tcPr>
            <w:tcW w:w="1191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53C2D451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745813D8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71FE3F4D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(Kale field)</w:t>
            </w:r>
          </w:p>
        </w:tc>
        <w:tc>
          <w:tcPr>
            <w:tcW w:w="1068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41CF544D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49E1D40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25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77900A6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EC3" w14:paraId="4DD02ADE" w14:textId="77777777" w:rsidTr="00A97BAF">
        <w:trPr>
          <w:trHeight w:val="20"/>
        </w:trPr>
        <w:tc>
          <w:tcPr>
            <w:tcW w:w="1191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2E6E8D3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C</w:t>
            </w:r>
          </w:p>
        </w:tc>
        <w:tc>
          <w:tcPr>
            <w:tcW w:w="1132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622C060A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Gauteng</w:t>
            </w:r>
          </w:p>
        </w:tc>
        <w:tc>
          <w:tcPr>
            <w:tcW w:w="232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4DF09B0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(Lettuce field)</w:t>
            </w:r>
          </w:p>
        </w:tc>
        <w:tc>
          <w:tcPr>
            <w:tcW w:w="1068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22783CE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79C4355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925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773F2DE2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0.029</w:t>
            </w:r>
          </w:p>
        </w:tc>
      </w:tr>
      <w:tr w:rsidR="00EC3EC3" w14:paraId="744CB7EC" w14:textId="77777777" w:rsidTr="00A97BAF">
        <w:trPr>
          <w:trHeight w:val="20"/>
        </w:trPr>
        <w:tc>
          <w:tcPr>
            <w:tcW w:w="11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9528D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0C522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0E87A85C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(Radishes field)</w:t>
            </w:r>
          </w:p>
        </w:tc>
        <w:tc>
          <w:tcPr>
            <w:tcW w:w="106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0552806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4914C4FC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5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3CD5E20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0.016</w:t>
            </w:r>
          </w:p>
        </w:tc>
      </w:tr>
      <w:tr w:rsidR="00EC3EC3" w14:paraId="4A8F85B6" w14:textId="77777777" w:rsidTr="00A97BAF">
        <w:trPr>
          <w:trHeight w:val="20"/>
        </w:trPr>
        <w:tc>
          <w:tcPr>
            <w:tcW w:w="1191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3E38DE55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26B637A0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3780B95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(Rocket field)</w:t>
            </w:r>
          </w:p>
        </w:tc>
        <w:tc>
          <w:tcPr>
            <w:tcW w:w="1068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6051F0C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428EDD6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5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7DD0B3D2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0.016</w:t>
            </w:r>
          </w:p>
        </w:tc>
      </w:tr>
      <w:tr w:rsidR="00EC3EC3" w14:paraId="068DC469" w14:textId="77777777" w:rsidTr="00A97BAF">
        <w:trPr>
          <w:trHeight w:val="20"/>
        </w:trPr>
        <w:tc>
          <w:tcPr>
            <w:tcW w:w="1191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7F096BDC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D</w:t>
            </w:r>
          </w:p>
        </w:tc>
        <w:tc>
          <w:tcPr>
            <w:tcW w:w="1132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277BC179" w14:textId="79578F0B" w:rsidR="00EC3EC3" w:rsidRDefault="00B6561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Northwest</w:t>
            </w:r>
          </w:p>
        </w:tc>
        <w:tc>
          <w:tcPr>
            <w:tcW w:w="232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51B9FDD2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(Baby carrots field)</w:t>
            </w:r>
          </w:p>
        </w:tc>
        <w:tc>
          <w:tcPr>
            <w:tcW w:w="1068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674B4A5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4E6FB86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5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2F024E9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0.014</w:t>
            </w:r>
          </w:p>
        </w:tc>
      </w:tr>
      <w:tr w:rsidR="00EC3EC3" w14:paraId="5A34DC82" w14:textId="77777777" w:rsidTr="00A97BAF">
        <w:trPr>
          <w:trHeight w:val="20"/>
        </w:trPr>
        <w:tc>
          <w:tcPr>
            <w:tcW w:w="11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4A38D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2FC90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7FCFFDD2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(Rocket field)</w:t>
            </w:r>
          </w:p>
        </w:tc>
        <w:tc>
          <w:tcPr>
            <w:tcW w:w="106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6949558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3D62053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25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746ED02A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EC3" w14:paraId="237CA0F2" w14:textId="77777777" w:rsidTr="00A97BAF">
        <w:trPr>
          <w:trHeight w:val="20"/>
        </w:trPr>
        <w:tc>
          <w:tcPr>
            <w:tcW w:w="11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C4DCE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1A4DD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6B5E81A2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(Spring onions field)</w:t>
            </w:r>
          </w:p>
        </w:tc>
        <w:tc>
          <w:tcPr>
            <w:tcW w:w="106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23A00B6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4DE2497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25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7D28DB93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EC3" w14:paraId="243A0864" w14:textId="77777777" w:rsidTr="00A97BAF">
        <w:trPr>
          <w:trHeight w:val="20"/>
        </w:trPr>
        <w:tc>
          <w:tcPr>
            <w:tcW w:w="1191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7F373834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0474305C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786FEA7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(Leeks field)</w:t>
            </w:r>
          </w:p>
        </w:tc>
        <w:tc>
          <w:tcPr>
            <w:tcW w:w="1068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7884095D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7C681F1B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5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417E456C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0.015</w:t>
            </w:r>
          </w:p>
        </w:tc>
      </w:tr>
      <w:tr w:rsidR="00EC3EC3" w14:paraId="22CCC41D" w14:textId="77777777" w:rsidTr="00A97BAF">
        <w:trPr>
          <w:trHeight w:val="20"/>
        </w:trPr>
        <w:tc>
          <w:tcPr>
            <w:tcW w:w="1191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6160BB1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E</w:t>
            </w:r>
          </w:p>
        </w:tc>
        <w:tc>
          <w:tcPr>
            <w:tcW w:w="1132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56F66E9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Limpopo</w:t>
            </w:r>
          </w:p>
        </w:tc>
        <w:tc>
          <w:tcPr>
            <w:tcW w:w="232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46FDA61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(Green peppers field)</w:t>
            </w:r>
          </w:p>
        </w:tc>
        <w:tc>
          <w:tcPr>
            <w:tcW w:w="1068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0BDAB22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5FF05EAC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5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236CDFA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0.032</w:t>
            </w:r>
          </w:p>
        </w:tc>
      </w:tr>
      <w:tr w:rsidR="00EC3EC3" w14:paraId="274BF9CB" w14:textId="77777777" w:rsidTr="00A97BAF">
        <w:trPr>
          <w:trHeight w:val="20"/>
        </w:trPr>
        <w:tc>
          <w:tcPr>
            <w:tcW w:w="11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C5A17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8D7C2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4C29F82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(Tomatoes field)</w:t>
            </w:r>
          </w:p>
        </w:tc>
        <w:tc>
          <w:tcPr>
            <w:tcW w:w="106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0122DA3A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311A8A8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925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62425F39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0.204</w:t>
            </w:r>
          </w:p>
        </w:tc>
      </w:tr>
      <w:tr w:rsidR="00EC3EC3" w14:paraId="1491BABF" w14:textId="77777777" w:rsidTr="00A97BAF">
        <w:trPr>
          <w:trHeight w:val="20"/>
        </w:trPr>
        <w:tc>
          <w:tcPr>
            <w:tcW w:w="1191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28BAA814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1BCEDE1C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6A2B9FA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(Spring onion field)</w:t>
            </w:r>
          </w:p>
        </w:tc>
        <w:tc>
          <w:tcPr>
            <w:tcW w:w="1068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2698AE73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4A693104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5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408A4BFB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0.031</w:t>
            </w:r>
          </w:p>
        </w:tc>
      </w:tr>
      <w:tr w:rsidR="00EC3EC3" w14:paraId="72EB8F97" w14:textId="77777777" w:rsidTr="00A97BAF">
        <w:trPr>
          <w:trHeight w:val="20"/>
        </w:trPr>
        <w:tc>
          <w:tcPr>
            <w:tcW w:w="1191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35B5EDB4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F</w:t>
            </w:r>
          </w:p>
        </w:tc>
        <w:tc>
          <w:tcPr>
            <w:tcW w:w="1132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1F6CF4B3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Gauteng</w:t>
            </w:r>
          </w:p>
        </w:tc>
        <w:tc>
          <w:tcPr>
            <w:tcW w:w="232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31F4367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(Green peppers field)</w:t>
            </w:r>
          </w:p>
        </w:tc>
        <w:tc>
          <w:tcPr>
            <w:tcW w:w="1068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00DB53D9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792C57A9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925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352BF89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0.031</w:t>
            </w:r>
          </w:p>
        </w:tc>
      </w:tr>
      <w:tr w:rsidR="00EC3EC3" w14:paraId="39DF53FE" w14:textId="77777777" w:rsidTr="00A97BAF">
        <w:trPr>
          <w:trHeight w:val="20"/>
        </w:trPr>
        <w:tc>
          <w:tcPr>
            <w:tcW w:w="119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0878B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CCAB9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1B49CBEA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(Spinach field)</w:t>
            </w:r>
          </w:p>
        </w:tc>
        <w:tc>
          <w:tcPr>
            <w:tcW w:w="106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7920860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6FC2B952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5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1C4C658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0.031</w:t>
            </w:r>
          </w:p>
        </w:tc>
      </w:tr>
      <w:tr w:rsidR="00EC3EC3" w14:paraId="1D4F2B92" w14:textId="77777777" w:rsidTr="00A97BAF">
        <w:trPr>
          <w:trHeight w:val="20"/>
        </w:trPr>
        <w:tc>
          <w:tcPr>
            <w:tcW w:w="1191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47A60559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47280B83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664E74C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(Onions field)</w:t>
            </w:r>
          </w:p>
        </w:tc>
        <w:tc>
          <w:tcPr>
            <w:tcW w:w="1068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6AE40954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4946DD7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925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3EAA10B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0.049</w:t>
            </w:r>
          </w:p>
        </w:tc>
      </w:tr>
      <w:tr w:rsidR="00EC3EC3" w14:paraId="27ACEA3B" w14:textId="77777777" w:rsidTr="00A97BAF">
        <w:trPr>
          <w:trHeight w:val="20"/>
        </w:trPr>
        <w:tc>
          <w:tcPr>
            <w:tcW w:w="1191" w:type="dxa"/>
            <w:tcBorders>
              <w:left w:val="nil"/>
              <w:bottom w:val="nil"/>
              <w:right w:val="nil"/>
            </w:tcBorders>
            <w:vAlign w:val="center"/>
          </w:tcPr>
          <w:p w14:paraId="01474EA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G</w:t>
            </w:r>
          </w:p>
        </w:tc>
        <w:tc>
          <w:tcPr>
            <w:tcW w:w="1132" w:type="dxa"/>
            <w:tcBorders>
              <w:left w:val="nil"/>
              <w:bottom w:val="nil"/>
              <w:right w:val="nil"/>
            </w:tcBorders>
            <w:vAlign w:val="center"/>
          </w:tcPr>
          <w:p w14:paraId="27A0B1D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Gauteng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  <w:vAlign w:val="center"/>
          </w:tcPr>
          <w:p w14:paraId="5AD22FE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Soil (Peas field)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vAlign w:val="center"/>
          </w:tcPr>
          <w:p w14:paraId="4C85D21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left w:val="nil"/>
              <w:bottom w:val="nil"/>
              <w:right w:val="nil"/>
            </w:tcBorders>
            <w:vAlign w:val="center"/>
          </w:tcPr>
          <w:p w14:paraId="44D9412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925" w:type="dxa"/>
            <w:tcBorders>
              <w:left w:val="nil"/>
              <w:bottom w:val="nil"/>
              <w:right w:val="nil"/>
            </w:tcBorders>
            <w:vAlign w:val="center"/>
          </w:tcPr>
          <w:p w14:paraId="5DA5409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0.178</w:t>
            </w:r>
          </w:p>
        </w:tc>
      </w:tr>
    </w:tbl>
    <w:p w14:paraId="2FA2A470" w14:textId="77777777" w:rsidR="00EC3EC3" w:rsidRDefault="00EC3EC3" w:rsidP="00DE56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8B2FB6" w14:textId="00C0E283" w:rsidR="00EC3EC3" w:rsidRPr="005E132A" w:rsidRDefault="000D6592" w:rsidP="00362FE6">
      <w:pPr>
        <w:pStyle w:val="Heading3"/>
        <w:spacing w:before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bookmarkStart w:id="7" w:name="_Toc184607141"/>
      <w:r w:rsidRPr="005E132A">
        <w:rPr>
          <w:rFonts w:ascii="Times New Roman" w:hAnsi="Times New Roman" w:cs="Times New Roman"/>
          <w:b/>
          <w:bCs/>
          <w:color w:val="000000" w:themeColor="text1"/>
        </w:rPr>
        <w:t xml:space="preserve">4.3.3 Occurrence of </w:t>
      </w:r>
      <w:r w:rsidR="009E2004" w:rsidRPr="009E2004">
        <w:rPr>
          <w:rFonts w:ascii="Times New Roman" w:hAnsi="Times New Roman" w:cs="Times New Roman"/>
          <w:b/>
          <w:bCs/>
          <w:i/>
          <w:color w:val="000000" w:themeColor="text1"/>
        </w:rPr>
        <w:t>Cryptosporidium</w:t>
      </w:r>
      <w:r w:rsidRPr="005E132A">
        <w:rPr>
          <w:rFonts w:ascii="Times New Roman" w:hAnsi="Times New Roman" w:cs="Times New Roman"/>
          <w:b/>
          <w:bCs/>
          <w:color w:val="000000" w:themeColor="text1"/>
        </w:rPr>
        <w:t xml:space="preserve"> on fresh produce</w:t>
      </w:r>
      <w:bookmarkEnd w:id="7"/>
      <w:r w:rsidRPr="005E132A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3D107ACC" w14:textId="02C5A693" w:rsidR="009A77A9" w:rsidRPr="00110BCB" w:rsidRDefault="009E2004" w:rsidP="00DE56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ZA"/>
        </w:rPr>
      </w:pPr>
      <w:r w:rsidRPr="009E2004">
        <w:rPr>
          <w:rFonts w:ascii="Times New Roman" w:hAnsi="Times New Roman" w:cs="Times New Roman"/>
          <w:i/>
          <w:sz w:val="24"/>
          <w:szCs w:val="24"/>
        </w:rPr>
        <w:t>Cryptosporidium</w:t>
      </w:r>
      <w:r w:rsidR="000D6592">
        <w:rPr>
          <w:rFonts w:ascii="Times New Roman" w:hAnsi="Times New Roman" w:cs="Times New Roman"/>
          <w:sz w:val="24"/>
          <w:szCs w:val="24"/>
        </w:rPr>
        <w:t xml:space="preserve"> was not detected using </w:t>
      </w:r>
      <w:r w:rsidR="00B6561F">
        <w:rPr>
          <w:rFonts w:ascii="Times New Roman" w:hAnsi="Times New Roman" w:cs="Times New Roman"/>
          <w:sz w:val="24"/>
          <w:szCs w:val="24"/>
        </w:rPr>
        <w:t>r</w:t>
      </w:r>
      <w:r w:rsidR="000D6592">
        <w:rPr>
          <w:rFonts w:ascii="Times New Roman" w:hAnsi="Times New Roman" w:cs="Times New Roman"/>
          <w:sz w:val="24"/>
          <w:szCs w:val="24"/>
        </w:rPr>
        <w:t>eal-time PCR, however</w:t>
      </w:r>
      <w:r w:rsidR="00084CDB">
        <w:rPr>
          <w:rFonts w:ascii="Times New Roman" w:hAnsi="Times New Roman" w:cs="Times New Roman"/>
          <w:sz w:val="24"/>
          <w:szCs w:val="24"/>
        </w:rPr>
        <w:t>,</w:t>
      </w:r>
      <w:r w:rsidR="000D6592">
        <w:rPr>
          <w:rFonts w:ascii="Times New Roman" w:hAnsi="Times New Roman" w:cs="Times New Roman"/>
          <w:sz w:val="24"/>
          <w:szCs w:val="24"/>
        </w:rPr>
        <w:t xml:space="preserve"> </w:t>
      </w:r>
      <w:r w:rsidR="000D6592">
        <w:rPr>
          <w:rFonts w:ascii="Times New Roman" w:hAnsi="Times New Roman" w:cs="Times New Roman"/>
          <w:sz w:val="24"/>
          <w:szCs w:val="24"/>
          <w:lang w:val="en-ZA"/>
        </w:rPr>
        <w:t xml:space="preserve">out of 98 processed fresh produce samples, 34 (34.7%) tested positive for </w:t>
      </w:r>
      <w:r w:rsidRPr="009E2004">
        <w:rPr>
          <w:rFonts w:ascii="Times New Roman" w:hAnsi="Times New Roman" w:cs="Times New Roman"/>
          <w:i/>
          <w:sz w:val="24"/>
          <w:szCs w:val="24"/>
          <w:lang w:val="en-ZA"/>
        </w:rPr>
        <w:t>Cryptosporidium</w:t>
      </w:r>
      <w:r w:rsidR="000D6592">
        <w:rPr>
          <w:rFonts w:ascii="Times New Roman" w:hAnsi="Times New Roman" w:cs="Times New Roman"/>
          <w:sz w:val="24"/>
          <w:szCs w:val="24"/>
          <w:lang w:val="en-ZA"/>
        </w:rPr>
        <w:t xml:space="preserve"> oocysts using ddPCR in samples from all seven farms. A total of 14 fresh produce types were examined, with 13 types testing positive (Table </w:t>
      </w:r>
      <w:r w:rsidR="00B54C58">
        <w:rPr>
          <w:rFonts w:ascii="Times New Roman" w:hAnsi="Times New Roman" w:cs="Times New Roman"/>
          <w:sz w:val="24"/>
          <w:szCs w:val="24"/>
          <w:lang w:val="en-ZA"/>
        </w:rPr>
        <w:t>4.</w:t>
      </w:r>
      <w:r w:rsidR="000D6592">
        <w:rPr>
          <w:rFonts w:ascii="Times New Roman" w:hAnsi="Times New Roman" w:cs="Times New Roman"/>
          <w:sz w:val="24"/>
          <w:szCs w:val="24"/>
          <w:lang w:val="en-ZA"/>
        </w:rPr>
        <w:t xml:space="preserve">4). </w:t>
      </w:r>
      <w:r w:rsidR="000D6592">
        <w:rPr>
          <w:rFonts w:ascii="Times New Roman" w:hAnsi="Times New Roman" w:cs="Times New Roman"/>
          <w:sz w:val="24"/>
          <w:szCs w:val="24"/>
        </w:rPr>
        <w:t>The highest number of positive samples was observed in radish (5/5, 100%), followed by tomato (4/5, 80%), peas (3/5, 60%), rocket (5/10, 50%), baby carrots (2/5, 40%), onions (2/5, 40%), spring onion (4/10, 40%), kale (3/10, 30%), spinach (4/15, 26</w:t>
      </w:r>
      <w:r w:rsidR="00650CE7">
        <w:rPr>
          <w:rFonts w:ascii="Times New Roman" w:hAnsi="Times New Roman" w:cs="Times New Roman"/>
          <w:sz w:val="24"/>
          <w:szCs w:val="24"/>
        </w:rPr>
        <w:t>.</w:t>
      </w:r>
      <w:r w:rsidR="000D6592">
        <w:rPr>
          <w:rFonts w:ascii="Times New Roman" w:hAnsi="Times New Roman" w:cs="Times New Roman"/>
          <w:sz w:val="24"/>
          <w:szCs w:val="24"/>
        </w:rPr>
        <w:t>67%), lettuce (2/</w:t>
      </w:r>
      <w:r w:rsidR="00945401">
        <w:rPr>
          <w:rFonts w:ascii="Times New Roman" w:hAnsi="Times New Roman" w:cs="Times New Roman"/>
          <w:sz w:val="24"/>
          <w:szCs w:val="24"/>
        </w:rPr>
        <w:t>8</w:t>
      </w:r>
      <w:r w:rsidR="000D6592">
        <w:rPr>
          <w:rFonts w:ascii="Times New Roman" w:hAnsi="Times New Roman" w:cs="Times New Roman"/>
          <w:sz w:val="24"/>
          <w:szCs w:val="24"/>
        </w:rPr>
        <w:t>, 2</w:t>
      </w:r>
      <w:r w:rsidR="00AE6B90">
        <w:rPr>
          <w:rFonts w:ascii="Times New Roman" w:hAnsi="Times New Roman" w:cs="Times New Roman"/>
          <w:sz w:val="24"/>
          <w:szCs w:val="24"/>
        </w:rPr>
        <w:t>5</w:t>
      </w:r>
      <w:r w:rsidR="000D6592">
        <w:rPr>
          <w:rFonts w:ascii="Times New Roman" w:hAnsi="Times New Roman" w:cs="Times New Roman"/>
          <w:sz w:val="24"/>
          <w:szCs w:val="24"/>
        </w:rPr>
        <w:t xml:space="preserve">%), </w:t>
      </w:r>
      <w:r w:rsidR="000D6592">
        <w:rPr>
          <w:rFonts w:ascii="Times New Roman" w:hAnsi="Times New Roman" w:cs="Times New Roman"/>
          <w:sz w:val="24"/>
          <w:szCs w:val="24"/>
          <w:lang w:val="en-ZA"/>
        </w:rPr>
        <w:t>leeks (1/5, 20%), and green pepper (1/10, 10%). No contamination was detected in rape samples.</w:t>
      </w:r>
      <w:r w:rsidR="000D6592">
        <w:rPr>
          <w:rFonts w:ascii="Times New Roman" w:hAnsi="Times New Roman" w:cs="Times New Roman"/>
          <w:sz w:val="24"/>
          <w:szCs w:val="24"/>
        </w:rPr>
        <w:t xml:space="preserve"> The concentration of</w:t>
      </w:r>
      <w:r w:rsidR="000D659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E2004">
        <w:rPr>
          <w:rFonts w:ascii="Times New Roman" w:hAnsi="Times New Roman" w:cs="Times New Roman"/>
          <w:i/>
          <w:iCs/>
          <w:sz w:val="24"/>
          <w:szCs w:val="24"/>
        </w:rPr>
        <w:t>Cryptosporidium</w:t>
      </w:r>
      <w:r w:rsidR="000D6592">
        <w:rPr>
          <w:rFonts w:ascii="Times New Roman" w:hAnsi="Times New Roman" w:cs="Times New Roman"/>
          <w:sz w:val="24"/>
          <w:szCs w:val="24"/>
        </w:rPr>
        <w:t> oocysts in different fresh produce types from each farm is</w:t>
      </w:r>
      <w:r w:rsidR="000D6592">
        <w:rPr>
          <w:rFonts w:ascii="Times New Roman" w:hAnsi="Times New Roman" w:cs="Times New Roman"/>
          <w:sz w:val="24"/>
          <w:szCs w:val="24"/>
          <w:lang w:val="en-ZA"/>
        </w:rPr>
        <w:t xml:space="preserve"> illustrated in Figure </w:t>
      </w:r>
      <w:r w:rsidR="0008732F">
        <w:rPr>
          <w:rFonts w:ascii="Times New Roman" w:hAnsi="Times New Roman" w:cs="Times New Roman"/>
          <w:sz w:val="24"/>
          <w:szCs w:val="24"/>
          <w:lang w:val="en-ZA"/>
        </w:rPr>
        <w:t>4.</w:t>
      </w:r>
      <w:r w:rsidR="000D6592">
        <w:rPr>
          <w:rFonts w:ascii="Times New Roman" w:hAnsi="Times New Roman" w:cs="Times New Roman"/>
          <w:sz w:val="24"/>
          <w:szCs w:val="24"/>
          <w:lang w:val="en-ZA"/>
        </w:rPr>
        <w:t>5, categori</w:t>
      </w:r>
      <w:r w:rsidR="00B6561F">
        <w:rPr>
          <w:rFonts w:ascii="Times New Roman" w:hAnsi="Times New Roman" w:cs="Times New Roman"/>
          <w:sz w:val="24"/>
          <w:szCs w:val="24"/>
          <w:lang w:val="en-ZA"/>
        </w:rPr>
        <w:t>s</w:t>
      </w:r>
      <w:r w:rsidR="000D6592">
        <w:rPr>
          <w:rFonts w:ascii="Times New Roman" w:hAnsi="Times New Roman" w:cs="Times New Roman"/>
          <w:sz w:val="24"/>
          <w:szCs w:val="24"/>
          <w:lang w:val="en-ZA"/>
        </w:rPr>
        <w:t>ed as follows: leafy green vegetables (kale, spinach, rape, lettuce, rocket, spring onion, leeks), fruiting vegetables (tomato, green pepper, peas), and root vegetables (radish, baby carrots, onion)</w:t>
      </w:r>
      <w:r w:rsidR="009A77A9">
        <w:rPr>
          <w:rFonts w:ascii="Times New Roman" w:hAnsi="Times New Roman" w:cs="Times New Roman"/>
          <w:sz w:val="24"/>
          <w:szCs w:val="24"/>
          <w:lang w:val="en-ZA"/>
        </w:rPr>
        <w:t>.</w:t>
      </w:r>
    </w:p>
    <w:p w14:paraId="1B78E5D2" w14:textId="1C65FDDD" w:rsidR="00A97BAF" w:rsidRPr="004D1E3B" w:rsidRDefault="00A97BAF" w:rsidP="004D1E3B">
      <w:pPr>
        <w:pStyle w:val="Caption"/>
        <w:keepNext/>
        <w:jc w:val="both"/>
        <w:rPr>
          <w:i w:val="0"/>
          <w:iCs w:val="0"/>
          <w:color w:val="000000" w:themeColor="text1"/>
        </w:rPr>
      </w:pPr>
      <w:bookmarkStart w:id="8" w:name="_Toc184498073"/>
      <w:r w:rsidRPr="004D1E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lastRenderedPageBreak/>
        <w:t>Table 4.4</w:t>
      </w:r>
      <w:r w:rsidR="00E94B9F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</w:t>
      </w:r>
      <w:r w:rsidRPr="004D1E3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 Occurrence and concentration of </w:t>
      </w:r>
      <w:r w:rsidR="009E2004" w:rsidRPr="009E2004">
        <w:rPr>
          <w:rFonts w:ascii="Times New Roman" w:hAnsi="Times New Roman" w:cs="Times New Roman"/>
          <w:color w:val="000000" w:themeColor="text1"/>
          <w:sz w:val="24"/>
          <w:szCs w:val="24"/>
        </w:rPr>
        <w:t>Cryptosporidium</w:t>
      </w:r>
      <w:r w:rsidRPr="004D1E3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 oocyst</w:t>
      </w:r>
      <w:r w:rsidR="000E0EFE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s</w:t>
      </w:r>
      <w:r w:rsidRPr="004D1E3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of each type of fresh produce from each farm</w:t>
      </w:r>
      <w:bookmarkEnd w:id="8"/>
    </w:p>
    <w:tbl>
      <w:tblPr>
        <w:tblStyle w:val="TableGrid"/>
        <w:tblW w:w="8774" w:type="dxa"/>
        <w:tblLook w:val="04A0" w:firstRow="1" w:lastRow="0" w:firstColumn="1" w:lastColumn="0" w:noHBand="0" w:noVBand="1"/>
      </w:tblPr>
      <w:tblGrid>
        <w:gridCol w:w="1188"/>
        <w:gridCol w:w="1124"/>
        <w:gridCol w:w="2154"/>
        <w:gridCol w:w="1031"/>
        <w:gridCol w:w="1349"/>
        <w:gridCol w:w="1928"/>
      </w:tblGrid>
      <w:tr w:rsidR="00EC3EC3" w14:paraId="2E4B6993" w14:textId="77777777" w:rsidTr="00A97BAF">
        <w:trPr>
          <w:trHeight w:val="845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31F955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Sampling area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DB0CB8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Province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27BBD6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Type of Fresh Produce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01CD77B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Total number of samples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D8347BA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Percentage of total “Positive”</w:t>
            </w:r>
          </w:p>
          <w:p w14:paraId="00636D5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Samples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16629A7" w14:textId="4B40ED7D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Average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8070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C</w:t>
            </w:r>
            <w:r w:rsidR="00EA7C3F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971C8" w:rsidRPr="000971C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parvum</w:t>
            </w:r>
          </w:p>
          <w:p w14:paraId="4758A1F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copies/26ɥl reaction (ddPCR)</w:t>
            </w:r>
          </w:p>
        </w:tc>
      </w:tr>
      <w:tr w:rsidR="00EC3EC3" w14:paraId="3DF02BBA" w14:textId="77777777" w:rsidTr="00A97BAF">
        <w:trPr>
          <w:trHeight w:val="410"/>
        </w:trPr>
        <w:tc>
          <w:tcPr>
            <w:tcW w:w="118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DF27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A</w:t>
            </w:r>
          </w:p>
        </w:tc>
        <w:tc>
          <w:tcPr>
            <w:tcW w:w="112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B6C5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Gauteng</w:t>
            </w:r>
          </w:p>
        </w:tc>
        <w:tc>
          <w:tcPr>
            <w:tcW w:w="2154" w:type="dxa"/>
            <w:tcBorders>
              <w:top w:val="nil"/>
              <w:left w:val="nil"/>
              <w:bottom w:val="dashed" w:sz="4" w:space="0" w:color="000000"/>
              <w:right w:val="nil"/>
            </w:tcBorders>
            <w:vAlign w:val="center"/>
          </w:tcPr>
          <w:p w14:paraId="4BA8066B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Kale</w:t>
            </w:r>
          </w:p>
        </w:tc>
        <w:tc>
          <w:tcPr>
            <w:tcW w:w="1031" w:type="dxa"/>
            <w:tcBorders>
              <w:top w:val="nil"/>
              <w:left w:val="nil"/>
              <w:bottom w:val="dashed" w:sz="4" w:space="0" w:color="000000"/>
              <w:right w:val="nil"/>
            </w:tcBorders>
            <w:vAlign w:val="center"/>
          </w:tcPr>
          <w:p w14:paraId="080B155C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dashed" w:sz="4" w:space="0" w:color="000000"/>
              <w:right w:val="nil"/>
            </w:tcBorders>
            <w:vAlign w:val="center"/>
          </w:tcPr>
          <w:p w14:paraId="2C3F1FC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928" w:type="dxa"/>
            <w:tcBorders>
              <w:top w:val="nil"/>
              <w:left w:val="nil"/>
              <w:bottom w:val="dashed" w:sz="4" w:space="0" w:color="000000"/>
              <w:right w:val="nil"/>
            </w:tcBorders>
            <w:vAlign w:val="center"/>
          </w:tcPr>
          <w:p w14:paraId="0CB2AEF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0.059</w:t>
            </w:r>
          </w:p>
        </w:tc>
      </w:tr>
      <w:tr w:rsidR="00EC3EC3" w14:paraId="0B1649A7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A5629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849B3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7810139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Spinach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1BCC9792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12DF7E8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2304D2C3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0.015</w:t>
            </w:r>
          </w:p>
        </w:tc>
      </w:tr>
      <w:tr w:rsidR="00EC3EC3" w14:paraId="6B72BE94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711431BB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2EC4B744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4BB76792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Lettuce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560D2AE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523391B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1F6B1E3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EC3" w14:paraId="094514BB" w14:textId="77777777" w:rsidTr="00A97BAF">
        <w:trPr>
          <w:trHeight w:val="422"/>
        </w:trPr>
        <w:tc>
          <w:tcPr>
            <w:tcW w:w="1188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2C06201D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B</w:t>
            </w:r>
          </w:p>
        </w:tc>
        <w:tc>
          <w:tcPr>
            <w:tcW w:w="1124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020AC53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Gauteng</w:t>
            </w:r>
          </w:p>
        </w:tc>
        <w:tc>
          <w:tcPr>
            <w:tcW w:w="215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723B954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Chinese spinach</w:t>
            </w:r>
          </w:p>
        </w:tc>
        <w:tc>
          <w:tcPr>
            <w:tcW w:w="1031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72DBCD7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75674ACA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8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16AD168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0.045</w:t>
            </w:r>
          </w:p>
        </w:tc>
      </w:tr>
      <w:tr w:rsidR="00EC3EC3" w14:paraId="4FD03CC7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8F073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D2D31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386B7A3B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Rape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0E3D0393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55BEE59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177A746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EC3" w14:paraId="2AA6A6D3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02B88254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7B6C706F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0A223AB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Kale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5E32D6D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5F68F2E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583CAC3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EC3" w14:paraId="33EBE00F" w14:textId="77777777" w:rsidTr="00A97BAF">
        <w:trPr>
          <w:trHeight w:val="422"/>
        </w:trPr>
        <w:tc>
          <w:tcPr>
            <w:tcW w:w="1188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565AAA0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C</w:t>
            </w:r>
          </w:p>
        </w:tc>
        <w:tc>
          <w:tcPr>
            <w:tcW w:w="1124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6F39529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Gauteng</w:t>
            </w:r>
          </w:p>
        </w:tc>
        <w:tc>
          <w:tcPr>
            <w:tcW w:w="215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05223D5B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Lettuce</w:t>
            </w:r>
          </w:p>
        </w:tc>
        <w:tc>
          <w:tcPr>
            <w:tcW w:w="1031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0D987F1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2E503D3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928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5749591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0.033</w:t>
            </w:r>
          </w:p>
        </w:tc>
      </w:tr>
      <w:tr w:rsidR="00EC3EC3" w14:paraId="4AF242A5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F8054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B1166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73074BB2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Radishes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79EFDD1A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02022EF4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28CFE789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0.051</w:t>
            </w:r>
          </w:p>
        </w:tc>
      </w:tr>
      <w:tr w:rsidR="00EC3EC3" w14:paraId="30CAD341" w14:textId="77777777" w:rsidTr="00A97BAF">
        <w:trPr>
          <w:trHeight w:val="45"/>
        </w:trPr>
        <w:tc>
          <w:tcPr>
            <w:tcW w:w="1188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4AF3968C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7DE35432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1521EC1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Rocket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516BE86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33BEB4E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362E7EF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EC3" w14:paraId="2B65EE68" w14:textId="77777777" w:rsidTr="00A97BAF">
        <w:trPr>
          <w:trHeight w:val="422"/>
        </w:trPr>
        <w:tc>
          <w:tcPr>
            <w:tcW w:w="1188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70173D8D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D</w:t>
            </w:r>
          </w:p>
        </w:tc>
        <w:tc>
          <w:tcPr>
            <w:tcW w:w="1124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46A13B5D" w14:textId="10BC622E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North</w:t>
            </w:r>
            <w:r w:rsidR="00CE1E5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est</w:t>
            </w:r>
          </w:p>
        </w:tc>
        <w:tc>
          <w:tcPr>
            <w:tcW w:w="215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326F436A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Baby carrots</w:t>
            </w:r>
          </w:p>
        </w:tc>
        <w:tc>
          <w:tcPr>
            <w:tcW w:w="1031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717A112C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72F1B2C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928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3D63740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0.038</w:t>
            </w:r>
          </w:p>
        </w:tc>
      </w:tr>
      <w:tr w:rsidR="00EC3EC3" w14:paraId="143AC245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7CD6C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06036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02479F09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Rocket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10ACC9B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4FC33E79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104077A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0.081</w:t>
            </w:r>
          </w:p>
        </w:tc>
      </w:tr>
      <w:tr w:rsidR="00EC3EC3" w14:paraId="1D5BED87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B95ED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7C2A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54EF33A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Spring onions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779D195B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60E29EC9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70F2600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0.029</w:t>
            </w:r>
          </w:p>
        </w:tc>
      </w:tr>
      <w:tr w:rsidR="00EC3EC3" w14:paraId="10F5EA03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6AB41202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1923B8E3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0A788DF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Leeks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4DEC259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776ABCF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54DF2E09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0.018</w:t>
            </w:r>
          </w:p>
        </w:tc>
      </w:tr>
      <w:tr w:rsidR="00EC3EC3" w14:paraId="2FC80BC8" w14:textId="77777777" w:rsidTr="00A97BAF">
        <w:trPr>
          <w:trHeight w:val="422"/>
        </w:trPr>
        <w:tc>
          <w:tcPr>
            <w:tcW w:w="1188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451F274B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E</w:t>
            </w:r>
          </w:p>
        </w:tc>
        <w:tc>
          <w:tcPr>
            <w:tcW w:w="1124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5733368C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Limpopo</w:t>
            </w:r>
          </w:p>
        </w:tc>
        <w:tc>
          <w:tcPr>
            <w:tcW w:w="215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62C06B94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Green peppers</w:t>
            </w:r>
          </w:p>
        </w:tc>
        <w:tc>
          <w:tcPr>
            <w:tcW w:w="1031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0AEBFAFD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1A0876C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  <w:tc>
          <w:tcPr>
            <w:tcW w:w="1928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51C28DD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3EC3" w14:paraId="249E1F0A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8C49C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B5D0E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00CDA76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Tomatoes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6C9BA834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2A90BCEB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0DAC434A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0.131</w:t>
            </w:r>
          </w:p>
        </w:tc>
      </w:tr>
      <w:tr w:rsidR="00EC3EC3" w14:paraId="7A4E5D55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61197C1A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29BAD780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7FEA0C1C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Spring onion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50DF7A5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28664D14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77A7C57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0.053</w:t>
            </w:r>
          </w:p>
        </w:tc>
      </w:tr>
      <w:tr w:rsidR="00EC3EC3" w14:paraId="4666FEA2" w14:textId="77777777" w:rsidTr="00A97BAF">
        <w:trPr>
          <w:trHeight w:val="410"/>
        </w:trPr>
        <w:tc>
          <w:tcPr>
            <w:tcW w:w="1188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2B5F8BA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F</w:t>
            </w:r>
          </w:p>
        </w:tc>
        <w:tc>
          <w:tcPr>
            <w:tcW w:w="1124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0B7C5BCF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Gauteng</w:t>
            </w:r>
          </w:p>
        </w:tc>
        <w:tc>
          <w:tcPr>
            <w:tcW w:w="2154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3CDAD024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Green peppers</w:t>
            </w:r>
          </w:p>
        </w:tc>
        <w:tc>
          <w:tcPr>
            <w:tcW w:w="1031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316FDAE8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2B2DCA5A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20%</w:t>
            </w:r>
          </w:p>
        </w:tc>
        <w:tc>
          <w:tcPr>
            <w:tcW w:w="1928" w:type="dxa"/>
            <w:tcBorders>
              <w:left w:val="nil"/>
              <w:bottom w:val="dashed" w:sz="4" w:space="0" w:color="000000"/>
              <w:right w:val="nil"/>
            </w:tcBorders>
            <w:vAlign w:val="center"/>
          </w:tcPr>
          <w:p w14:paraId="16B8B0E5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0.015</w:t>
            </w:r>
          </w:p>
        </w:tc>
      </w:tr>
      <w:tr w:rsidR="00EC3EC3" w14:paraId="2ACC69D1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36497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6E998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08EC461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Spinach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6B487F1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5741A1A6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vAlign w:val="center"/>
          </w:tcPr>
          <w:p w14:paraId="0BE351F9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0.034</w:t>
            </w:r>
          </w:p>
        </w:tc>
      </w:tr>
      <w:tr w:rsidR="00EC3EC3" w14:paraId="410C88D6" w14:textId="77777777" w:rsidTr="00A97BAF">
        <w:trPr>
          <w:trHeight w:val="146"/>
        </w:trPr>
        <w:tc>
          <w:tcPr>
            <w:tcW w:w="1188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7F043EC7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nil"/>
              <w:left w:val="nil"/>
              <w:right w:val="nil"/>
            </w:tcBorders>
            <w:vAlign w:val="center"/>
          </w:tcPr>
          <w:p w14:paraId="60E95FE9" w14:textId="77777777" w:rsidR="00EC3EC3" w:rsidRDefault="00EC3EC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7411652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Onions</w:t>
            </w:r>
          </w:p>
        </w:tc>
        <w:tc>
          <w:tcPr>
            <w:tcW w:w="1031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5A627E8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0F9C0617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40%</w:t>
            </w:r>
          </w:p>
        </w:tc>
        <w:tc>
          <w:tcPr>
            <w:tcW w:w="1928" w:type="dxa"/>
            <w:tcBorders>
              <w:top w:val="dashed" w:sz="4" w:space="0" w:color="000000"/>
              <w:left w:val="nil"/>
              <w:right w:val="nil"/>
            </w:tcBorders>
            <w:vAlign w:val="center"/>
          </w:tcPr>
          <w:p w14:paraId="6FA2510E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0.049</w:t>
            </w:r>
          </w:p>
        </w:tc>
      </w:tr>
      <w:tr w:rsidR="00EC3EC3" w14:paraId="02DE0F4C" w14:textId="77777777" w:rsidTr="00A97BAF">
        <w:trPr>
          <w:trHeight w:val="410"/>
        </w:trPr>
        <w:tc>
          <w:tcPr>
            <w:tcW w:w="1188" w:type="dxa"/>
            <w:tcBorders>
              <w:left w:val="nil"/>
              <w:bottom w:val="nil"/>
              <w:right w:val="nil"/>
            </w:tcBorders>
            <w:vAlign w:val="center"/>
          </w:tcPr>
          <w:p w14:paraId="18EA523C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Farm G</w:t>
            </w: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  <w:vAlign w:val="center"/>
          </w:tcPr>
          <w:p w14:paraId="70618F2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Gauteng</w:t>
            </w:r>
          </w:p>
        </w:tc>
        <w:tc>
          <w:tcPr>
            <w:tcW w:w="2154" w:type="dxa"/>
            <w:tcBorders>
              <w:left w:val="nil"/>
              <w:bottom w:val="nil"/>
              <w:right w:val="nil"/>
            </w:tcBorders>
            <w:vAlign w:val="center"/>
          </w:tcPr>
          <w:p w14:paraId="69BCBBD4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Peas</w:t>
            </w:r>
          </w:p>
        </w:tc>
        <w:tc>
          <w:tcPr>
            <w:tcW w:w="1031" w:type="dxa"/>
            <w:tcBorders>
              <w:left w:val="nil"/>
              <w:bottom w:val="nil"/>
              <w:right w:val="nil"/>
            </w:tcBorders>
            <w:vAlign w:val="center"/>
          </w:tcPr>
          <w:p w14:paraId="087EA1F0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  <w:tcBorders>
              <w:left w:val="nil"/>
              <w:bottom w:val="nil"/>
              <w:right w:val="nil"/>
            </w:tcBorders>
            <w:vAlign w:val="center"/>
          </w:tcPr>
          <w:p w14:paraId="7D173991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</w:tc>
        <w:tc>
          <w:tcPr>
            <w:tcW w:w="1928" w:type="dxa"/>
            <w:tcBorders>
              <w:left w:val="nil"/>
              <w:bottom w:val="nil"/>
              <w:right w:val="nil"/>
            </w:tcBorders>
            <w:vAlign w:val="center"/>
          </w:tcPr>
          <w:p w14:paraId="7F087784" w14:textId="77777777" w:rsidR="00EC3EC3" w:rsidRDefault="000D659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0.154</w:t>
            </w:r>
          </w:p>
        </w:tc>
      </w:tr>
    </w:tbl>
    <w:p w14:paraId="1BFD9254" w14:textId="77777777" w:rsidR="00EC3EC3" w:rsidRDefault="00EC3EC3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ZA"/>
        </w:rPr>
      </w:pPr>
    </w:p>
    <w:p w14:paraId="7E04568F" w14:textId="77777777" w:rsidR="00C51670" w:rsidRDefault="000D6592" w:rsidP="00C51670">
      <w:pPr>
        <w:keepNext/>
        <w:spacing w:after="0" w:line="360" w:lineRule="auto"/>
        <w:jc w:val="both"/>
      </w:pPr>
      <w:r>
        <w:rPr>
          <w:noProof/>
        </w:rPr>
        <w:lastRenderedPageBreak/>
        <w:drawing>
          <wp:inline distT="0" distB="0" distL="0" distR="0" wp14:anchorId="2EFBC7FF" wp14:editId="4EF80C7C">
            <wp:extent cx="5656580" cy="3418840"/>
            <wp:effectExtent l="0" t="0" r="1270" b="1016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C610CA2" w14:textId="3A8DDD73" w:rsidR="00EC3EC3" w:rsidRDefault="00C516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84498088"/>
      <w:r>
        <w:rPr>
          <w:rFonts w:ascii="Times New Roman" w:hAnsi="Times New Roman" w:cs="Times New Roman"/>
          <w:b/>
          <w:bCs/>
          <w:sz w:val="24"/>
          <w:szCs w:val="24"/>
        </w:rPr>
        <w:t>Figure 4.5:</w:t>
      </w:r>
      <w:r>
        <w:rPr>
          <w:rFonts w:ascii="Times New Roman" w:hAnsi="Times New Roman" w:cs="Times New Roman"/>
          <w:sz w:val="24"/>
          <w:szCs w:val="24"/>
        </w:rPr>
        <w:t xml:space="preserve"> Proportion of </w:t>
      </w:r>
      <w:r w:rsidR="009E2004" w:rsidRPr="009E2004">
        <w:rPr>
          <w:rFonts w:ascii="Times New Roman" w:hAnsi="Times New Roman" w:cs="Times New Roman"/>
          <w:i/>
          <w:iCs/>
          <w:sz w:val="24"/>
          <w:szCs w:val="24"/>
        </w:rPr>
        <w:t>Cryptosporidium</w:t>
      </w:r>
      <w:r>
        <w:rPr>
          <w:rFonts w:ascii="Times New Roman" w:hAnsi="Times New Roman" w:cs="Times New Roman"/>
          <w:sz w:val="24"/>
          <w:szCs w:val="24"/>
        </w:rPr>
        <w:t xml:space="preserve"> contamination by fresh produce type</w:t>
      </w:r>
      <w:r w:rsidR="009F45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including 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leafy green vegetables (kale, spinach, rape, lettuce, rocket, spring onion, leeks), fruiting vegetables (tomato, green pepper, peas), and root vegetables (radish, baby carrots, onion) </w:t>
      </w:r>
      <w:r>
        <w:rPr>
          <w:rFonts w:ascii="Times New Roman" w:hAnsi="Times New Roman" w:cs="Times New Roman"/>
          <w:sz w:val="24"/>
          <w:szCs w:val="24"/>
        </w:rPr>
        <w:t>across each farm.</w:t>
      </w:r>
      <w:bookmarkEnd w:id="9"/>
    </w:p>
    <w:p w14:paraId="0ADAB291" w14:textId="77777777" w:rsidR="00110BCB" w:rsidRDefault="00110B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2E6BAE" w14:textId="141FC6E9" w:rsidR="00EC3EC3" w:rsidRPr="005E132A" w:rsidRDefault="000D6592" w:rsidP="00965C6D">
      <w:pPr>
        <w:pStyle w:val="Heading3"/>
        <w:spacing w:before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bookmarkStart w:id="10" w:name="_Toc184607142"/>
      <w:r w:rsidRPr="005E132A">
        <w:rPr>
          <w:rFonts w:ascii="Times New Roman" w:hAnsi="Times New Roman" w:cs="Times New Roman"/>
          <w:b/>
          <w:bCs/>
          <w:color w:val="000000" w:themeColor="text1"/>
        </w:rPr>
        <w:t>4.3.4 Comparison of the occurrence of positive samples in water, soil, and fresh produce across different regions</w:t>
      </w:r>
      <w:bookmarkEnd w:id="10"/>
    </w:p>
    <w:p w14:paraId="79E5E154" w14:textId="63053715" w:rsidR="00EC3EC3" w:rsidRPr="006F36F7" w:rsidRDefault="000D6592" w:rsidP="00624D4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ZA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frequencies of </w:t>
      </w:r>
      <w:r w:rsidR="009E2004" w:rsidRPr="009E2004">
        <w:rPr>
          <w:rFonts w:ascii="Times New Roman" w:hAnsi="Times New Roman" w:cs="Times New Roman"/>
          <w:i/>
          <w:sz w:val="24"/>
          <w:szCs w:val="24"/>
        </w:rPr>
        <w:t>Cryptosporidium</w:t>
      </w:r>
      <w:r>
        <w:rPr>
          <w:rFonts w:ascii="Times New Roman" w:hAnsi="Times New Roman" w:cs="Times New Roman"/>
          <w:sz w:val="24"/>
          <w:szCs w:val="24"/>
        </w:rPr>
        <w:t xml:space="preserve"> based on the farming production practices are displayed in </w:t>
      </w:r>
      <w:r w:rsidRPr="00624D45">
        <w:rPr>
          <w:rFonts w:ascii="Times New Roman" w:hAnsi="Times New Roman" w:cs="Times New Roman"/>
          <w:sz w:val="24"/>
          <w:szCs w:val="24"/>
        </w:rPr>
        <w:t xml:space="preserve">Table </w:t>
      </w:r>
      <w:r w:rsidR="00B54C58" w:rsidRPr="00624D45">
        <w:rPr>
          <w:rFonts w:ascii="Times New Roman" w:hAnsi="Times New Roman" w:cs="Times New Roman"/>
          <w:sz w:val="24"/>
          <w:szCs w:val="24"/>
        </w:rPr>
        <w:t>4.</w:t>
      </w:r>
      <w:r w:rsidRPr="00624D45">
        <w:rPr>
          <w:rFonts w:ascii="Times New Roman" w:hAnsi="Times New Roman" w:cs="Times New Roman"/>
          <w:sz w:val="24"/>
          <w:szCs w:val="24"/>
        </w:rPr>
        <w:t xml:space="preserve">5. </w:t>
      </w:r>
      <w:r w:rsidR="00624D45" w:rsidRPr="006F3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this scoping study, </w:t>
      </w:r>
      <w:r w:rsidR="00E53A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certain </w:t>
      </w:r>
      <w:r w:rsidR="00F20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trends were observed between type of </w:t>
      </w:r>
      <w:r w:rsidR="00E53A1E">
        <w:rPr>
          <w:rFonts w:ascii="Times New Roman" w:hAnsi="Times New Roman" w:cs="Times New Roman"/>
          <w:color w:val="000000" w:themeColor="text1"/>
          <w:sz w:val="24"/>
          <w:szCs w:val="24"/>
        </w:rPr>
        <w:t>farming</w:t>
      </w:r>
      <w:r w:rsidR="00F20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practices, water source type, soil amendment</w:t>
      </w:r>
      <w:r w:rsidR="000042C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201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fresh produce type</w:t>
      </w:r>
      <w:r w:rsidR="00624D45" w:rsidRPr="006F3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However, </w:t>
      </w:r>
      <w:r w:rsidR="00E53A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number of samples </w:t>
      </w:r>
      <w:r w:rsidR="000042CB">
        <w:rPr>
          <w:rFonts w:ascii="Times New Roman" w:hAnsi="Times New Roman" w:cs="Times New Roman"/>
          <w:color w:val="000000" w:themeColor="text1"/>
          <w:sz w:val="24"/>
          <w:szCs w:val="24"/>
        </w:rPr>
        <w:t>was</w:t>
      </w:r>
      <w:r w:rsidR="00E53A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not enough</w:t>
      </w:r>
      <w:r w:rsidR="007B30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</w:t>
      </w:r>
      <w:r w:rsidR="00E53A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comprehensive </w:t>
      </w:r>
      <w:r w:rsidR="007B30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statistical analysis. </w:t>
      </w:r>
      <w:r w:rsidR="00624D45" w:rsidRPr="006F36F7">
        <w:rPr>
          <w:rFonts w:ascii="Times New Roman" w:hAnsi="Times New Roman" w:cs="Times New Roman"/>
          <w:color w:val="000000" w:themeColor="text1"/>
          <w:sz w:val="24"/>
          <w:szCs w:val="24"/>
        </w:rPr>
        <w:t>Given the limited sample sizes, the ranking of contamination rates provide</w:t>
      </w:r>
      <w:r w:rsidR="000042C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624D45" w:rsidRPr="006F3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preliminary insights rather than statistically definitive conclusions, and further </w:t>
      </w:r>
      <w:r w:rsidR="00ED21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studies </w:t>
      </w:r>
      <w:r w:rsidR="00624D45" w:rsidRPr="006F3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with larger sample sizes </w:t>
      </w:r>
      <w:r w:rsidR="00977DCF">
        <w:rPr>
          <w:rFonts w:ascii="Times New Roman" w:hAnsi="Times New Roman" w:cs="Times New Roman"/>
          <w:color w:val="000000" w:themeColor="text1"/>
          <w:sz w:val="24"/>
          <w:szCs w:val="24"/>
        </w:rPr>
        <w:t>are</w:t>
      </w:r>
      <w:r w:rsidR="00624D45" w:rsidRPr="006F36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required to confirm potential trends with greater statistical confidence.</w:t>
      </w:r>
    </w:p>
    <w:p w14:paraId="03023BBF" w14:textId="77777777" w:rsidR="00EC3EC3" w:rsidRDefault="00EC3EC3" w:rsidP="00965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ZA"/>
        </w:rPr>
      </w:pPr>
    </w:p>
    <w:p w14:paraId="07BAB4FB" w14:textId="77777777" w:rsidR="00EC3EC3" w:rsidRDefault="000D6592" w:rsidP="00965C6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ZA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ZA"/>
        </w:rPr>
        <w:t>Type of Farming: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ZA"/>
        </w:rPr>
        <w:t xml:space="preserve"> The analysis indicates that organic farming had the highest number of positive samples (10/32, 31.3%), followed by conventional farming (23/80, 28.75%) and integrated farming systems (25/98, 25.5%). </w:t>
      </w:r>
    </w:p>
    <w:p w14:paraId="20BDA335" w14:textId="77777777" w:rsidR="00EC3EC3" w:rsidRDefault="00EC3EC3" w:rsidP="00965C6D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ZA"/>
        </w:rPr>
      </w:pPr>
    </w:p>
    <w:p w14:paraId="262ADE32" w14:textId="7358C9CB" w:rsidR="00EC3EC3" w:rsidRDefault="000D6592" w:rsidP="00965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ZA"/>
        </w:rPr>
        <w:lastRenderedPageBreak/>
        <w:t>Water Source Type: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 The groundwater samples showed a lower percentage </w:t>
      </w:r>
      <w:r w:rsidR="00977DCF">
        <w:rPr>
          <w:rFonts w:ascii="Times New Roman" w:hAnsi="Times New Roman" w:cs="Times New Roman"/>
          <w:sz w:val="24"/>
          <w:szCs w:val="24"/>
          <w:lang w:val="en-ZA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positive samples (1/6, 16.7%) compared to surface water used for irrigation purposes (2/7, 28.6%). Notably, none of the municipal water samples tested positive for </w:t>
      </w:r>
      <w:r w:rsidR="009E2004" w:rsidRPr="009E2004">
        <w:rPr>
          <w:rFonts w:ascii="Times New Roman" w:hAnsi="Times New Roman" w:cs="Times New Roman"/>
          <w:i/>
          <w:iCs/>
          <w:sz w:val="24"/>
          <w:szCs w:val="24"/>
          <w:lang w:val="en-ZA"/>
        </w:rPr>
        <w:t>Cryptosporidium</w:t>
      </w:r>
      <w:r>
        <w:rPr>
          <w:rFonts w:ascii="Times New Roman" w:hAnsi="Times New Roman" w:cs="Times New Roman"/>
          <w:sz w:val="24"/>
          <w:szCs w:val="24"/>
          <w:lang w:val="en-ZA"/>
        </w:rPr>
        <w:t>.</w:t>
      </w:r>
    </w:p>
    <w:p w14:paraId="559AE65D" w14:textId="77777777" w:rsidR="00EC3EC3" w:rsidRDefault="00EC3EC3" w:rsidP="00965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ZA"/>
        </w:rPr>
      </w:pPr>
    </w:p>
    <w:p w14:paraId="328456D7" w14:textId="00D9E1AF" w:rsidR="00EC3EC3" w:rsidRDefault="000D6592" w:rsidP="00965C6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ZA"/>
        </w:rPr>
        <w:t>Soil Amendment: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Soil treated with a combination of commercial fertili</w:t>
      </w:r>
      <w:r w:rsidR="00B6561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er and manure exhibited the highest number of positive samples (9/20, 45%), while soil amended solely with manure had 17.1% (6/35) </w:t>
      </w:r>
      <w:r>
        <w:rPr>
          <w:rFonts w:ascii="Times New Roman" w:hAnsi="Times New Roman" w:cs="Times New Roman"/>
          <w:sz w:val="24"/>
          <w:szCs w:val="24"/>
          <w:lang w:val="en-ZA"/>
        </w:rPr>
        <w:t>of samples testing positive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This could indicate that the use of manure may introduce or increase the presence of pathogens like </w:t>
      </w:r>
      <w:r w:rsidR="009E2004" w:rsidRPr="009E2004">
        <w:rPr>
          <w:rFonts w:ascii="Times New Roman" w:hAnsi="Times New Roman" w:cs="Times New Roman"/>
          <w:i/>
          <w:sz w:val="24"/>
          <w:szCs w:val="24"/>
          <w:lang w:val="en-ZA"/>
        </w:rPr>
        <w:t>Cryptosporidium</w:t>
      </w:r>
      <w:r>
        <w:rPr>
          <w:rFonts w:ascii="Times New Roman" w:hAnsi="Times New Roman" w:cs="Times New Roman"/>
          <w:sz w:val="24"/>
          <w:szCs w:val="24"/>
          <w:lang w:val="en-ZA"/>
        </w:rPr>
        <w:t>. Additionally, soil treated with plant-based organic fertili</w:t>
      </w:r>
      <w:r w:rsidR="00B6561F">
        <w:rPr>
          <w:rFonts w:ascii="Times New Roman" w:hAnsi="Times New Roman" w:cs="Times New Roman"/>
          <w:sz w:val="24"/>
          <w:szCs w:val="24"/>
          <w:lang w:val="en-ZA"/>
        </w:rPr>
        <w:t>s</w:t>
      </w:r>
      <w:r>
        <w:rPr>
          <w:rFonts w:ascii="Times New Roman" w:hAnsi="Times New Roman" w:cs="Times New Roman"/>
          <w:sz w:val="24"/>
          <w:szCs w:val="24"/>
          <w:lang w:val="en-ZA"/>
        </w:rPr>
        <w:t>ers (from composting) had 26.7% (4/15) of samples testing positive, while untreated soil had the lowest number of positive samples (2/15, 10%).</w:t>
      </w:r>
    </w:p>
    <w:p w14:paraId="1A043832" w14:textId="77777777" w:rsidR="00EC3EC3" w:rsidRDefault="00EC3EC3" w:rsidP="00DE56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ZA"/>
        </w:rPr>
      </w:pPr>
    </w:p>
    <w:p w14:paraId="2EEC9195" w14:textId="221FC276" w:rsidR="00EC3EC3" w:rsidRDefault="000D6592" w:rsidP="00DE56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Z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ZA"/>
        </w:rPr>
        <w:t>Type of Fresh Produce: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 The percentage of samples positive for </w:t>
      </w:r>
      <w:r w:rsidR="009E2004" w:rsidRPr="009E2004">
        <w:rPr>
          <w:rFonts w:ascii="Times New Roman" w:hAnsi="Times New Roman" w:cs="Times New Roman"/>
          <w:i/>
          <w:iCs/>
          <w:sz w:val="24"/>
          <w:szCs w:val="24"/>
          <w:lang w:val="en-ZA"/>
        </w:rPr>
        <w:t>Cryptosporidium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 was different among the different types of fresh produce (Table </w:t>
      </w:r>
      <w:r w:rsidR="00B54C58">
        <w:rPr>
          <w:rFonts w:ascii="Times New Roman" w:hAnsi="Times New Roman" w:cs="Times New Roman"/>
          <w:sz w:val="24"/>
          <w:szCs w:val="24"/>
          <w:lang w:val="en-ZA"/>
        </w:rPr>
        <w:t>4.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5).  Root vegetables </w:t>
      </w:r>
      <w:r w:rsidR="00B6561F">
        <w:rPr>
          <w:rFonts w:ascii="Times New Roman" w:hAnsi="Times New Roman" w:cs="Times New Roman"/>
          <w:sz w:val="24"/>
          <w:szCs w:val="24"/>
          <w:lang w:val="en-ZA"/>
        </w:rPr>
        <w:t xml:space="preserve">had </w:t>
      </w:r>
      <w:r>
        <w:rPr>
          <w:rFonts w:ascii="Times New Roman" w:hAnsi="Times New Roman" w:cs="Times New Roman"/>
          <w:sz w:val="24"/>
          <w:szCs w:val="24"/>
          <w:lang w:val="en-ZA"/>
        </w:rPr>
        <w:t xml:space="preserve">the most samples positive (7/15, 46.7%), followed by </w:t>
      </w:r>
      <w:r>
        <w:rPr>
          <w:rFonts w:ascii="Times New Roman" w:hAnsi="Times New Roman" w:cs="Times New Roman"/>
          <w:sz w:val="24"/>
          <w:szCs w:val="24"/>
        </w:rPr>
        <w:t xml:space="preserve">fruiting vegetables (8/20, 40%), while the lowest number of positive samples were from the </w:t>
      </w:r>
      <w:r>
        <w:rPr>
          <w:rFonts w:ascii="Times New Roman" w:hAnsi="Times New Roman" w:cs="Times New Roman"/>
          <w:sz w:val="24"/>
          <w:szCs w:val="24"/>
          <w:lang w:val="en-ZA"/>
        </w:rPr>
        <w:t>leafy green vegetables group (19/63, 30.15%).</w:t>
      </w:r>
    </w:p>
    <w:p w14:paraId="7BAB7F73" w14:textId="77777777" w:rsidR="00110BCB" w:rsidRDefault="00110BCB" w:rsidP="004D1E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ZA"/>
        </w:rPr>
      </w:pPr>
    </w:p>
    <w:p w14:paraId="671999FE" w14:textId="76488610" w:rsidR="00A97BAF" w:rsidRPr="004D1E3B" w:rsidRDefault="00A97BAF" w:rsidP="004D1E3B">
      <w:pPr>
        <w:pStyle w:val="Caption"/>
        <w:keepNext/>
        <w:jc w:val="both"/>
        <w:rPr>
          <w:i w:val="0"/>
          <w:iCs w:val="0"/>
          <w:color w:val="000000" w:themeColor="text1"/>
        </w:rPr>
      </w:pPr>
      <w:bookmarkStart w:id="11" w:name="_Toc184498074"/>
      <w:r w:rsidRPr="004D1E3B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Table 4.5</w:t>
      </w:r>
      <w:r w:rsidR="002514D6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:</w:t>
      </w:r>
      <w:r w:rsidRPr="004D1E3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 Detection of </w:t>
      </w:r>
      <w:r w:rsidR="009E2004" w:rsidRPr="009E2004">
        <w:rPr>
          <w:rFonts w:ascii="Times New Roman" w:hAnsi="Times New Roman" w:cs="Times New Roman"/>
          <w:color w:val="000000" w:themeColor="text1"/>
          <w:sz w:val="24"/>
          <w:szCs w:val="24"/>
        </w:rPr>
        <w:t>Cryptosporidium</w:t>
      </w:r>
      <w:r w:rsidRPr="004D1E3B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 in water, soil, and fresh produce samples from small-scale farms according to the different production practices used</w:t>
      </w:r>
      <w:bookmarkEnd w:id="11"/>
    </w:p>
    <w:tbl>
      <w:tblPr>
        <w:tblW w:w="9039" w:type="dxa"/>
        <w:tblLook w:val="04A0" w:firstRow="1" w:lastRow="0" w:firstColumn="1" w:lastColumn="0" w:noHBand="0" w:noVBand="1"/>
      </w:tblPr>
      <w:tblGrid>
        <w:gridCol w:w="2284"/>
        <w:gridCol w:w="2321"/>
        <w:gridCol w:w="2192"/>
        <w:gridCol w:w="2242"/>
      </w:tblGrid>
      <w:tr w:rsidR="00EC3EC3" w14:paraId="516ADB22" w14:textId="77777777" w:rsidTr="00A97BAF">
        <w:trPr>
          <w:trHeight w:val="20"/>
        </w:trPr>
        <w:tc>
          <w:tcPr>
            <w:tcW w:w="228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C19414D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3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3FEAD6B4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ZA" w:eastAsia="en-ZA"/>
              </w:rPr>
              <w:t>Variable</w:t>
            </w:r>
          </w:p>
        </w:tc>
        <w:tc>
          <w:tcPr>
            <w:tcW w:w="219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2F3B85EB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ZA" w:eastAsia="en-ZA"/>
              </w:rPr>
              <w:t>“Positive” samples (n)/Total samples</w:t>
            </w:r>
          </w:p>
        </w:tc>
        <w:tc>
          <w:tcPr>
            <w:tcW w:w="224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98D49A3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ZA" w:eastAsia="en-ZA"/>
              </w:rPr>
              <w:t>Percentage of total “Positive”</w:t>
            </w:r>
          </w:p>
          <w:p w14:paraId="5C4EADB5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ZA" w:eastAsia="en-ZA"/>
              </w:rPr>
              <w:t>Samples</w:t>
            </w:r>
          </w:p>
        </w:tc>
      </w:tr>
      <w:tr w:rsidR="00EC3EC3" w14:paraId="28C2570F" w14:textId="77777777" w:rsidTr="00A97BAF">
        <w:trPr>
          <w:trHeight w:val="20"/>
        </w:trPr>
        <w:tc>
          <w:tcPr>
            <w:tcW w:w="2284" w:type="dxa"/>
            <w:vMerge w:val="restart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0B659427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ZA" w:eastAsia="en-ZA"/>
              </w:rPr>
              <w:t>Type of farming</w:t>
            </w:r>
          </w:p>
        </w:tc>
        <w:tc>
          <w:tcPr>
            <w:tcW w:w="2321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52F145C1" w14:textId="656CC77E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 xml:space="preserve">Integrated (Aquaponics and </w:t>
            </w:r>
            <w:r w:rsidR="00B656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nimal husbandry)</w:t>
            </w:r>
          </w:p>
        </w:tc>
        <w:tc>
          <w:tcPr>
            <w:tcW w:w="219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0D0DCFB0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25/98</w:t>
            </w:r>
          </w:p>
        </w:tc>
        <w:tc>
          <w:tcPr>
            <w:tcW w:w="224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65E54CDB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25.5%</w:t>
            </w:r>
          </w:p>
        </w:tc>
      </w:tr>
      <w:tr w:rsidR="00EC3EC3" w14:paraId="4E7795E1" w14:textId="77777777" w:rsidTr="00A97BAF">
        <w:trPr>
          <w:trHeight w:val="20"/>
        </w:trPr>
        <w:tc>
          <w:tcPr>
            <w:tcW w:w="2284" w:type="dxa"/>
            <w:vMerge/>
            <w:tcBorders>
              <w:bottom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4292AAB3" w14:textId="77777777" w:rsidR="00EC3EC3" w:rsidRDefault="00EC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</w:p>
        </w:tc>
        <w:tc>
          <w:tcPr>
            <w:tcW w:w="2321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0FAB5D1D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Conventional</w:t>
            </w:r>
          </w:p>
        </w:tc>
        <w:tc>
          <w:tcPr>
            <w:tcW w:w="219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3C1FCAF9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23/80</w:t>
            </w:r>
          </w:p>
        </w:tc>
        <w:tc>
          <w:tcPr>
            <w:tcW w:w="224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2ABA7718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28.75%</w:t>
            </w:r>
          </w:p>
        </w:tc>
      </w:tr>
      <w:tr w:rsidR="00EC3EC3" w14:paraId="4D940FF5" w14:textId="77777777" w:rsidTr="00A97BAF">
        <w:trPr>
          <w:trHeight w:val="20"/>
        </w:trPr>
        <w:tc>
          <w:tcPr>
            <w:tcW w:w="2284" w:type="dxa"/>
            <w:vMerge/>
            <w:tcBorders>
              <w:bottom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5CBDC17D" w14:textId="77777777" w:rsidR="00EC3EC3" w:rsidRDefault="00EC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</w:p>
        </w:tc>
        <w:tc>
          <w:tcPr>
            <w:tcW w:w="2321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76B4AFB3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Organic</w:t>
            </w:r>
          </w:p>
        </w:tc>
        <w:tc>
          <w:tcPr>
            <w:tcW w:w="219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0CC55753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10/32</w:t>
            </w:r>
          </w:p>
        </w:tc>
        <w:tc>
          <w:tcPr>
            <w:tcW w:w="224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09B3B0D8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31.3%</w:t>
            </w:r>
          </w:p>
        </w:tc>
      </w:tr>
      <w:tr w:rsidR="00EC3EC3" w14:paraId="07FE598D" w14:textId="77777777" w:rsidTr="00A97BAF">
        <w:trPr>
          <w:trHeight w:val="567"/>
        </w:trPr>
        <w:tc>
          <w:tcPr>
            <w:tcW w:w="2284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4434FA67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ZA" w:eastAsia="en-ZA"/>
              </w:rPr>
              <w:t>Total samples (farming type)</w:t>
            </w:r>
          </w:p>
        </w:tc>
        <w:tc>
          <w:tcPr>
            <w:tcW w:w="2321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3F771770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192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56CAEB3E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58/210</w:t>
            </w:r>
          </w:p>
        </w:tc>
        <w:tc>
          <w:tcPr>
            <w:tcW w:w="2242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41AF9545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27.62%</w:t>
            </w:r>
          </w:p>
        </w:tc>
      </w:tr>
      <w:tr w:rsidR="00EC3EC3" w14:paraId="746890FB" w14:textId="77777777" w:rsidTr="00A97BAF">
        <w:trPr>
          <w:trHeight w:val="20"/>
        </w:trPr>
        <w:tc>
          <w:tcPr>
            <w:tcW w:w="2284" w:type="dxa"/>
            <w:vMerge w:val="restart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43BE35C3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en-ZA" w:eastAsia="en-ZA"/>
              </w:rPr>
              <w:t>Water source type</w:t>
            </w:r>
          </w:p>
        </w:tc>
        <w:tc>
          <w:tcPr>
            <w:tcW w:w="2321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732154E0" w14:textId="695D4F3D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Groundwater</w:t>
            </w:r>
          </w:p>
        </w:tc>
        <w:tc>
          <w:tcPr>
            <w:tcW w:w="219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60C209D0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1/6</w:t>
            </w:r>
          </w:p>
        </w:tc>
        <w:tc>
          <w:tcPr>
            <w:tcW w:w="224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0EFF54E5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16.7%</w:t>
            </w:r>
          </w:p>
        </w:tc>
      </w:tr>
      <w:tr w:rsidR="00EC3EC3" w14:paraId="1D5D6222" w14:textId="77777777" w:rsidTr="00A97BAF">
        <w:trPr>
          <w:trHeight w:val="20"/>
        </w:trPr>
        <w:tc>
          <w:tcPr>
            <w:tcW w:w="2284" w:type="dxa"/>
            <w:vMerge/>
            <w:tcBorders>
              <w:bottom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6A8EEB6F" w14:textId="77777777" w:rsidR="00EC3EC3" w:rsidRDefault="00EC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</w:p>
        </w:tc>
        <w:tc>
          <w:tcPr>
            <w:tcW w:w="2321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07EB0414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Surface water</w:t>
            </w:r>
          </w:p>
        </w:tc>
        <w:tc>
          <w:tcPr>
            <w:tcW w:w="219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5E082551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2/7</w:t>
            </w:r>
          </w:p>
        </w:tc>
        <w:tc>
          <w:tcPr>
            <w:tcW w:w="224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798C7B26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28.6%</w:t>
            </w:r>
          </w:p>
        </w:tc>
      </w:tr>
      <w:tr w:rsidR="00EC3EC3" w14:paraId="5CA7D630" w14:textId="77777777" w:rsidTr="00A97BAF">
        <w:trPr>
          <w:trHeight w:val="20"/>
        </w:trPr>
        <w:tc>
          <w:tcPr>
            <w:tcW w:w="2284" w:type="dxa"/>
            <w:vMerge/>
            <w:tcBorders>
              <w:bottom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228A799C" w14:textId="77777777" w:rsidR="00EC3EC3" w:rsidRDefault="00EC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</w:p>
        </w:tc>
        <w:tc>
          <w:tcPr>
            <w:tcW w:w="2321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3568258C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Municipal water</w:t>
            </w:r>
          </w:p>
        </w:tc>
        <w:tc>
          <w:tcPr>
            <w:tcW w:w="219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77753775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0/2</w:t>
            </w:r>
          </w:p>
        </w:tc>
        <w:tc>
          <w:tcPr>
            <w:tcW w:w="224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66DD8E45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0%</w:t>
            </w:r>
          </w:p>
        </w:tc>
      </w:tr>
      <w:tr w:rsidR="00EC3EC3" w14:paraId="25EECAB4" w14:textId="77777777" w:rsidTr="00A97BAF">
        <w:trPr>
          <w:trHeight w:val="567"/>
        </w:trPr>
        <w:tc>
          <w:tcPr>
            <w:tcW w:w="2284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2DD0E992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ZA" w:eastAsia="en-ZA"/>
              </w:rPr>
              <w:t>Total samples (water source)</w:t>
            </w:r>
          </w:p>
        </w:tc>
        <w:tc>
          <w:tcPr>
            <w:tcW w:w="2321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429D62BA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192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2AE1477F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3/15</w:t>
            </w:r>
          </w:p>
        </w:tc>
        <w:tc>
          <w:tcPr>
            <w:tcW w:w="2242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1F80A962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20%</w:t>
            </w:r>
          </w:p>
        </w:tc>
      </w:tr>
      <w:tr w:rsidR="00EC3EC3" w14:paraId="4DED0565" w14:textId="77777777" w:rsidTr="00A97BAF">
        <w:trPr>
          <w:trHeight w:val="20"/>
        </w:trPr>
        <w:tc>
          <w:tcPr>
            <w:tcW w:w="2284" w:type="dxa"/>
            <w:vMerge w:val="restart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54E31469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en-ZA" w:eastAsia="en-ZA"/>
              </w:rPr>
              <w:t>Soil amendment</w:t>
            </w:r>
          </w:p>
        </w:tc>
        <w:tc>
          <w:tcPr>
            <w:tcW w:w="2321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2692E2C1" w14:textId="1D8E790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Combination of commercial fertili</w:t>
            </w:r>
            <w:r w:rsidR="00B6561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s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er and manure</w:t>
            </w:r>
          </w:p>
        </w:tc>
        <w:tc>
          <w:tcPr>
            <w:tcW w:w="219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6C11BB16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9/20</w:t>
            </w:r>
          </w:p>
        </w:tc>
        <w:tc>
          <w:tcPr>
            <w:tcW w:w="224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7F4324F0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45%</w:t>
            </w:r>
          </w:p>
        </w:tc>
      </w:tr>
      <w:tr w:rsidR="00EC3EC3" w14:paraId="1ED0DF70" w14:textId="77777777" w:rsidTr="00A97BAF">
        <w:trPr>
          <w:trHeight w:val="20"/>
        </w:trPr>
        <w:tc>
          <w:tcPr>
            <w:tcW w:w="2284" w:type="dxa"/>
            <w:vMerge/>
            <w:tcBorders>
              <w:bottom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18F4D76C" w14:textId="77777777" w:rsidR="00EC3EC3" w:rsidRDefault="00EC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</w:p>
        </w:tc>
        <w:tc>
          <w:tcPr>
            <w:tcW w:w="2321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03F91B03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Manure</w:t>
            </w:r>
          </w:p>
        </w:tc>
        <w:tc>
          <w:tcPr>
            <w:tcW w:w="219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068DEE3A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6/35</w:t>
            </w:r>
          </w:p>
        </w:tc>
        <w:tc>
          <w:tcPr>
            <w:tcW w:w="224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0DF8DA06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17.1%</w:t>
            </w:r>
          </w:p>
        </w:tc>
      </w:tr>
      <w:tr w:rsidR="00EC3EC3" w14:paraId="77DCDED5" w14:textId="77777777" w:rsidTr="00A97BAF">
        <w:trPr>
          <w:trHeight w:val="20"/>
        </w:trPr>
        <w:tc>
          <w:tcPr>
            <w:tcW w:w="2284" w:type="dxa"/>
            <w:vMerge/>
            <w:tcBorders>
              <w:bottom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4E189B8F" w14:textId="77777777" w:rsidR="00EC3EC3" w:rsidRDefault="00EC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</w:p>
        </w:tc>
        <w:tc>
          <w:tcPr>
            <w:tcW w:w="2321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2114AEEB" w14:textId="652FBE72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Organic fertili</w:t>
            </w:r>
            <w:r w:rsidR="00B6561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s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er</w:t>
            </w:r>
          </w:p>
        </w:tc>
        <w:tc>
          <w:tcPr>
            <w:tcW w:w="219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31872B6A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4/15</w:t>
            </w:r>
          </w:p>
        </w:tc>
        <w:tc>
          <w:tcPr>
            <w:tcW w:w="224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29994445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26.7%</w:t>
            </w:r>
          </w:p>
        </w:tc>
      </w:tr>
      <w:tr w:rsidR="00EC3EC3" w14:paraId="13E0AE55" w14:textId="77777777" w:rsidTr="00A97BAF">
        <w:trPr>
          <w:trHeight w:val="20"/>
        </w:trPr>
        <w:tc>
          <w:tcPr>
            <w:tcW w:w="2284" w:type="dxa"/>
            <w:vMerge/>
            <w:tcBorders>
              <w:bottom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6F5D946D" w14:textId="77777777" w:rsidR="00EC3EC3" w:rsidRDefault="00EC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</w:p>
        </w:tc>
        <w:tc>
          <w:tcPr>
            <w:tcW w:w="2321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74140DF5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No amendment</w:t>
            </w:r>
          </w:p>
        </w:tc>
        <w:tc>
          <w:tcPr>
            <w:tcW w:w="219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406873A7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2/20</w:t>
            </w:r>
          </w:p>
        </w:tc>
        <w:tc>
          <w:tcPr>
            <w:tcW w:w="224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0229AD0E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10%</w:t>
            </w:r>
          </w:p>
        </w:tc>
      </w:tr>
      <w:tr w:rsidR="00EC3EC3" w14:paraId="610BBDB1" w14:textId="77777777" w:rsidTr="00A97BAF">
        <w:trPr>
          <w:trHeight w:val="567"/>
        </w:trPr>
        <w:tc>
          <w:tcPr>
            <w:tcW w:w="2284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2D8CA7DB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ZA" w:eastAsia="en-ZA"/>
              </w:rPr>
              <w:t>Total samples (soil amendment)</w:t>
            </w:r>
          </w:p>
        </w:tc>
        <w:tc>
          <w:tcPr>
            <w:tcW w:w="2321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08105727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192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75EC176E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21/90</w:t>
            </w:r>
          </w:p>
        </w:tc>
        <w:tc>
          <w:tcPr>
            <w:tcW w:w="2242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7D4BD3DD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23.3%</w:t>
            </w:r>
          </w:p>
        </w:tc>
      </w:tr>
      <w:tr w:rsidR="00EC3EC3" w14:paraId="6F553ED3" w14:textId="77777777" w:rsidTr="00A97BAF">
        <w:trPr>
          <w:trHeight w:val="20"/>
        </w:trPr>
        <w:tc>
          <w:tcPr>
            <w:tcW w:w="2284" w:type="dxa"/>
            <w:vMerge w:val="restart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1A792B9C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222"/>
                <w:sz w:val="20"/>
                <w:szCs w:val="20"/>
                <w:lang w:val="en-ZA" w:eastAsia="en-ZA"/>
              </w:rPr>
              <w:t>Type of vegetable</w:t>
            </w:r>
          </w:p>
        </w:tc>
        <w:tc>
          <w:tcPr>
            <w:tcW w:w="2321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358AC043" w14:textId="5A9A44DB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 xml:space="preserve">Leafy </w:t>
            </w:r>
            <w:r w:rsidR="00B6561F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g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reen vegetable</w:t>
            </w:r>
          </w:p>
        </w:tc>
        <w:tc>
          <w:tcPr>
            <w:tcW w:w="219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26FE93D9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19/63</w:t>
            </w:r>
          </w:p>
        </w:tc>
        <w:tc>
          <w:tcPr>
            <w:tcW w:w="224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0F7AA694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30.15%</w:t>
            </w:r>
          </w:p>
        </w:tc>
      </w:tr>
      <w:tr w:rsidR="00EC3EC3" w14:paraId="31BD3659" w14:textId="77777777" w:rsidTr="00A97BAF">
        <w:trPr>
          <w:trHeight w:val="20"/>
        </w:trPr>
        <w:tc>
          <w:tcPr>
            <w:tcW w:w="2284" w:type="dxa"/>
            <w:vMerge/>
            <w:tcBorders>
              <w:bottom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3458144C" w14:textId="77777777" w:rsidR="00EC3EC3" w:rsidRDefault="00EC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</w:p>
        </w:tc>
        <w:tc>
          <w:tcPr>
            <w:tcW w:w="2321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320F73F6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Root vegetable</w:t>
            </w:r>
          </w:p>
        </w:tc>
        <w:tc>
          <w:tcPr>
            <w:tcW w:w="219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15E081BB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7/15</w:t>
            </w:r>
          </w:p>
        </w:tc>
        <w:tc>
          <w:tcPr>
            <w:tcW w:w="2242" w:type="dxa"/>
            <w:tcBorders>
              <w:bottom w:val="dashed" w:sz="8" w:space="0" w:color="000000"/>
            </w:tcBorders>
            <w:shd w:val="clear" w:color="auto" w:fill="FFFFFF"/>
            <w:vAlign w:val="center"/>
          </w:tcPr>
          <w:p w14:paraId="60DDA2D9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ZA" w:eastAsia="en-ZA"/>
              </w:rPr>
              <w:t>46.7%</w:t>
            </w:r>
          </w:p>
        </w:tc>
      </w:tr>
      <w:tr w:rsidR="00EC3EC3" w14:paraId="4BADA224" w14:textId="77777777" w:rsidTr="00A97BAF">
        <w:trPr>
          <w:trHeight w:val="20"/>
        </w:trPr>
        <w:tc>
          <w:tcPr>
            <w:tcW w:w="2284" w:type="dxa"/>
            <w:vMerge/>
            <w:tcBorders>
              <w:bottom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14:paraId="42DAD42A" w14:textId="77777777" w:rsidR="00EC3EC3" w:rsidRDefault="00EC3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</w:p>
        </w:tc>
        <w:tc>
          <w:tcPr>
            <w:tcW w:w="2321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600A354F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Fruiting vegetable</w:t>
            </w:r>
          </w:p>
        </w:tc>
        <w:tc>
          <w:tcPr>
            <w:tcW w:w="219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02AC00AE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8/20</w:t>
            </w:r>
          </w:p>
        </w:tc>
        <w:tc>
          <w:tcPr>
            <w:tcW w:w="224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14:paraId="1BA2B2AF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40%</w:t>
            </w:r>
          </w:p>
        </w:tc>
      </w:tr>
      <w:tr w:rsidR="00EC3EC3" w14:paraId="2DD54C7A" w14:textId="77777777" w:rsidTr="00A97BAF">
        <w:trPr>
          <w:trHeight w:val="567"/>
        </w:trPr>
        <w:tc>
          <w:tcPr>
            <w:tcW w:w="2284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5F322341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ZA" w:eastAsia="en-ZA"/>
              </w:rPr>
              <w:t>Total samples (vegetable type)</w:t>
            </w:r>
          </w:p>
        </w:tc>
        <w:tc>
          <w:tcPr>
            <w:tcW w:w="2321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217F6F33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 </w:t>
            </w:r>
          </w:p>
        </w:tc>
        <w:tc>
          <w:tcPr>
            <w:tcW w:w="2192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30D9B14C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34/98</w:t>
            </w:r>
          </w:p>
        </w:tc>
        <w:tc>
          <w:tcPr>
            <w:tcW w:w="2242" w:type="dxa"/>
            <w:tcBorders>
              <w:bottom w:val="double" w:sz="4" w:space="0" w:color="000000"/>
            </w:tcBorders>
            <w:shd w:val="clear" w:color="auto" w:fill="FFFFFF"/>
            <w:vAlign w:val="center"/>
          </w:tcPr>
          <w:p w14:paraId="2A738C2C" w14:textId="77777777" w:rsidR="00EC3EC3" w:rsidRDefault="000D6592">
            <w:pPr>
              <w:spacing w:after="0" w:line="253" w:lineRule="atLeast"/>
              <w:jc w:val="center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en-ZA" w:eastAsia="en-ZA"/>
              </w:rPr>
              <w:t>34.7%</w:t>
            </w:r>
          </w:p>
        </w:tc>
      </w:tr>
    </w:tbl>
    <w:p w14:paraId="6AE3ABA6" w14:textId="77777777" w:rsidR="00EC3EC3" w:rsidRPr="00DE5631" w:rsidRDefault="00EC3EC3" w:rsidP="00DE56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ZA"/>
        </w:rPr>
      </w:pPr>
    </w:p>
    <w:sectPr w:rsidR="00EC3EC3" w:rsidRPr="00DE5631" w:rsidSect="00F97BDF">
      <w:footerReference w:type="default" r:id="rId11"/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B2DA1" w14:textId="77777777" w:rsidR="002A59A5" w:rsidRDefault="002A59A5" w:rsidP="0041165C">
      <w:pPr>
        <w:spacing w:after="0" w:line="240" w:lineRule="auto"/>
      </w:pPr>
      <w:r>
        <w:separator/>
      </w:r>
    </w:p>
  </w:endnote>
  <w:endnote w:type="continuationSeparator" w:id="0">
    <w:p w14:paraId="5F8FF0DF" w14:textId="77777777" w:rsidR="002A59A5" w:rsidRDefault="002A59A5" w:rsidP="0041165C">
      <w:pPr>
        <w:spacing w:after="0" w:line="240" w:lineRule="auto"/>
      </w:pPr>
      <w:r>
        <w:continuationSeparator/>
      </w:r>
    </w:p>
  </w:endnote>
  <w:endnote w:type="continuationNotice" w:id="1">
    <w:p w14:paraId="37F6A1F6" w14:textId="77777777" w:rsidR="002A59A5" w:rsidRDefault="002A59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3994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AF786" w14:textId="1B9F0DEA" w:rsidR="00B44DAC" w:rsidRDefault="00B44D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F096A9" w14:textId="77777777" w:rsidR="0041165C" w:rsidRDefault="004116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B0B59" w14:textId="77777777" w:rsidR="002A59A5" w:rsidRDefault="002A59A5" w:rsidP="0041165C">
      <w:pPr>
        <w:spacing w:after="0" w:line="240" w:lineRule="auto"/>
      </w:pPr>
      <w:r>
        <w:separator/>
      </w:r>
    </w:p>
  </w:footnote>
  <w:footnote w:type="continuationSeparator" w:id="0">
    <w:p w14:paraId="624A0BB6" w14:textId="77777777" w:rsidR="002A59A5" w:rsidRDefault="002A59A5" w:rsidP="0041165C">
      <w:pPr>
        <w:spacing w:after="0" w:line="240" w:lineRule="auto"/>
      </w:pPr>
      <w:r>
        <w:continuationSeparator/>
      </w:r>
    </w:p>
  </w:footnote>
  <w:footnote w:type="continuationNotice" w:id="1">
    <w:p w14:paraId="7DE49205" w14:textId="77777777" w:rsidR="002A59A5" w:rsidRDefault="002A59A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D6B4F"/>
    <w:multiLevelType w:val="hybridMultilevel"/>
    <w:tmpl w:val="F16E9D1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D02EA"/>
    <w:multiLevelType w:val="hybridMultilevel"/>
    <w:tmpl w:val="6DFA6EDE"/>
    <w:lvl w:ilvl="0" w:tplc="56F800A0">
      <w:numFmt w:val="bullet"/>
      <w:lvlText w:val="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E3E95"/>
    <w:multiLevelType w:val="hybridMultilevel"/>
    <w:tmpl w:val="6DFA7968"/>
    <w:lvl w:ilvl="0" w:tplc="CD527A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BE86E2">
      <w:start w:val="1"/>
      <w:numFmt w:val="lowerLetter"/>
      <w:lvlText w:val="%2."/>
      <w:lvlJc w:val="left"/>
      <w:pPr>
        <w:ind w:left="1192" w:hanging="112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12AB4"/>
    <w:multiLevelType w:val="hybridMultilevel"/>
    <w:tmpl w:val="69BE28DC"/>
    <w:lvl w:ilvl="0" w:tplc="1C09000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358A2"/>
    <w:multiLevelType w:val="multilevel"/>
    <w:tmpl w:val="338841B4"/>
    <w:lvl w:ilvl="0">
      <w:start w:val="37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BD51B8"/>
    <w:multiLevelType w:val="hybridMultilevel"/>
    <w:tmpl w:val="9A2ABC64"/>
    <w:lvl w:ilvl="0" w:tplc="CBB0A35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23A27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6D9C98B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A7840F0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950EAC4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614A3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9FE4B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84C61FE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A2DE943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1C4B2820"/>
    <w:multiLevelType w:val="multilevel"/>
    <w:tmpl w:val="04241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F60B34"/>
    <w:multiLevelType w:val="multilevel"/>
    <w:tmpl w:val="F87C3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446761"/>
    <w:multiLevelType w:val="multilevel"/>
    <w:tmpl w:val="7070FB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B406230"/>
    <w:multiLevelType w:val="multilevel"/>
    <w:tmpl w:val="54603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33BB3"/>
    <w:multiLevelType w:val="hybridMultilevel"/>
    <w:tmpl w:val="F6B2BFE6"/>
    <w:lvl w:ilvl="0" w:tplc="68200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845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540D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3845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B05F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F08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A465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F052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1236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34221FF"/>
    <w:multiLevelType w:val="multilevel"/>
    <w:tmpl w:val="FAAE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A3533B"/>
    <w:multiLevelType w:val="multilevel"/>
    <w:tmpl w:val="80F23E4A"/>
    <w:lvl w:ilvl="0">
      <w:start w:val="4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D42BCD"/>
    <w:multiLevelType w:val="multilevel"/>
    <w:tmpl w:val="395A9F8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611A6F94"/>
    <w:multiLevelType w:val="hybridMultilevel"/>
    <w:tmpl w:val="8B3E72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B0DFF"/>
    <w:multiLevelType w:val="hybridMultilevel"/>
    <w:tmpl w:val="30B8502C"/>
    <w:lvl w:ilvl="0" w:tplc="030A11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52B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C6A8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06C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5E63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7060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CE7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7E8C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769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E9F2B99"/>
    <w:multiLevelType w:val="multilevel"/>
    <w:tmpl w:val="91BA04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7AE91177"/>
    <w:multiLevelType w:val="multilevel"/>
    <w:tmpl w:val="4EAEE5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7B291B23"/>
    <w:multiLevelType w:val="hybridMultilevel"/>
    <w:tmpl w:val="70668DCC"/>
    <w:lvl w:ilvl="0" w:tplc="53C88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2C2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4019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566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86C9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A45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925F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5EA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E2B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7C5C1E95"/>
    <w:multiLevelType w:val="multilevel"/>
    <w:tmpl w:val="FFEA4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49502976">
    <w:abstractNumId w:val="9"/>
  </w:num>
  <w:num w:numId="2" w16cid:durableId="357901131">
    <w:abstractNumId w:val="16"/>
  </w:num>
  <w:num w:numId="3" w16cid:durableId="923027269">
    <w:abstractNumId w:val="0"/>
  </w:num>
  <w:num w:numId="4" w16cid:durableId="1690911014">
    <w:abstractNumId w:val="8"/>
  </w:num>
  <w:num w:numId="5" w16cid:durableId="1199315343">
    <w:abstractNumId w:val="5"/>
  </w:num>
  <w:num w:numId="6" w16cid:durableId="1274097520">
    <w:abstractNumId w:val="15"/>
  </w:num>
  <w:num w:numId="7" w16cid:durableId="1343780281">
    <w:abstractNumId w:val="18"/>
  </w:num>
  <w:num w:numId="8" w16cid:durableId="1383364113">
    <w:abstractNumId w:val="10"/>
  </w:num>
  <w:num w:numId="9" w16cid:durableId="1988851488">
    <w:abstractNumId w:val="12"/>
  </w:num>
  <w:num w:numId="10" w16cid:durableId="1676028933">
    <w:abstractNumId w:val="4"/>
  </w:num>
  <w:num w:numId="11" w16cid:durableId="987636980">
    <w:abstractNumId w:val="17"/>
  </w:num>
  <w:num w:numId="12" w16cid:durableId="173957758">
    <w:abstractNumId w:val="2"/>
  </w:num>
  <w:num w:numId="13" w16cid:durableId="1656059066">
    <w:abstractNumId w:val="13"/>
  </w:num>
  <w:num w:numId="14" w16cid:durableId="1658875572">
    <w:abstractNumId w:val="11"/>
  </w:num>
  <w:num w:numId="15" w16cid:durableId="2035379276">
    <w:abstractNumId w:val="14"/>
  </w:num>
  <w:num w:numId="16" w16cid:durableId="1154877467">
    <w:abstractNumId w:val="1"/>
  </w:num>
  <w:num w:numId="17" w16cid:durableId="1810046948">
    <w:abstractNumId w:val="3"/>
  </w:num>
  <w:num w:numId="18" w16cid:durableId="691105801">
    <w:abstractNumId w:val="6"/>
  </w:num>
  <w:num w:numId="19" w16cid:durableId="1694454800">
    <w:abstractNumId w:val="7"/>
  </w:num>
  <w:num w:numId="20" w16cid:durableId="10960960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7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209vzz54fpfpue9df6xfsd3axsata0rswz0&quot;&gt;My EndNote Library&lt;record-ids&gt;&lt;item&gt;5&lt;/item&gt;&lt;item&gt;10&lt;/item&gt;&lt;item&gt;24&lt;/item&gt;&lt;item&gt;25&lt;/item&gt;&lt;item&gt;33&lt;/item&gt;&lt;item&gt;36&lt;/item&gt;&lt;item&gt;52&lt;/item&gt;&lt;item&gt;79&lt;/item&gt;&lt;item&gt;82&lt;/item&gt;&lt;item&gt;83&lt;/item&gt;&lt;item&gt;84&lt;/item&gt;&lt;item&gt;85&lt;/item&gt;&lt;item&gt;86&lt;/item&gt;&lt;item&gt;88&lt;/item&gt;&lt;item&gt;89&lt;/item&gt;&lt;item&gt;90&lt;/item&gt;&lt;item&gt;91&lt;/item&gt;&lt;item&gt;104&lt;/item&gt;&lt;item&gt;106&lt;/item&gt;&lt;item&gt;107&lt;/item&gt;&lt;item&gt;108&lt;/item&gt;&lt;item&gt;109&lt;/item&gt;&lt;item&gt;110&lt;/item&gt;&lt;item&gt;141&lt;/item&gt;&lt;item&gt;142&lt;/item&gt;&lt;item&gt;143&lt;/item&gt;&lt;item&gt;144&lt;/item&gt;&lt;item&gt;145&lt;/item&gt;&lt;item&gt;147&lt;/item&gt;&lt;item&gt;148&lt;/item&gt;&lt;item&gt;149&lt;/item&gt;&lt;item&gt;150&lt;/item&gt;&lt;item&gt;151&lt;/item&gt;&lt;item&gt;152&lt;/item&gt;&lt;/record-ids&gt;&lt;/item&gt;&lt;/Libraries&gt;"/>
  </w:docVars>
  <w:rsids>
    <w:rsidRoot w:val="00EC3EC3"/>
    <w:rsid w:val="00000A66"/>
    <w:rsid w:val="00002D81"/>
    <w:rsid w:val="00002DD1"/>
    <w:rsid w:val="000031E3"/>
    <w:rsid w:val="000031FF"/>
    <w:rsid w:val="0000355D"/>
    <w:rsid w:val="000042CB"/>
    <w:rsid w:val="00004376"/>
    <w:rsid w:val="00004F9E"/>
    <w:rsid w:val="00005C0F"/>
    <w:rsid w:val="00006F25"/>
    <w:rsid w:val="00007FA9"/>
    <w:rsid w:val="00010566"/>
    <w:rsid w:val="0001387E"/>
    <w:rsid w:val="000146E5"/>
    <w:rsid w:val="0001529F"/>
    <w:rsid w:val="000152CA"/>
    <w:rsid w:val="000156C4"/>
    <w:rsid w:val="0001584F"/>
    <w:rsid w:val="000163D4"/>
    <w:rsid w:val="0001692B"/>
    <w:rsid w:val="00017B22"/>
    <w:rsid w:val="00020362"/>
    <w:rsid w:val="00022BD7"/>
    <w:rsid w:val="00023771"/>
    <w:rsid w:val="00024C28"/>
    <w:rsid w:val="00025C40"/>
    <w:rsid w:val="000303E9"/>
    <w:rsid w:val="00031D2E"/>
    <w:rsid w:val="0003274D"/>
    <w:rsid w:val="00032F8E"/>
    <w:rsid w:val="0003381A"/>
    <w:rsid w:val="00033ECD"/>
    <w:rsid w:val="00034DF4"/>
    <w:rsid w:val="00035407"/>
    <w:rsid w:val="00035572"/>
    <w:rsid w:val="0003588D"/>
    <w:rsid w:val="00036FD3"/>
    <w:rsid w:val="00037D07"/>
    <w:rsid w:val="000407BC"/>
    <w:rsid w:val="00040868"/>
    <w:rsid w:val="0004143A"/>
    <w:rsid w:val="000419F0"/>
    <w:rsid w:val="00041EF6"/>
    <w:rsid w:val="000425A0"/>
    <w:rsid w:val="00043DCA"/>
    <w:rsid w:val="000451F4"/>
    <w:rsid w:val="00045721"/>
    <w:rsid w:val="00046F45"/>
    <w:rsid w:val="00047002"/>
    <w:rsid w:val="00047AA5"/>
    <w:rsid w:val="00050A9E"/>
    <w:rsid w:val="000534F5"/>
    <w:rsid w:val="000535CE"/>
    <w:rsid w:val="00053FD4"/>
    <w:rsid w:val="00054243"/>
    <w:rsid w:val="00054AAD"/>
    <w:rsid w:val="00054B0B"/>
    <w:rsid w:val="00055BAD"/>
    <w:rsid w:val="0005661F"/>
    <w:rsid w:val="00057312"/>
    <w:rsid w:val="0005752C"/>
    <w:rsid w:val="00057710"/>
    <w:rsid w:val="00061662"/>
    <w:rsid w:val="0006394D"/>
    <w:rsid w:val="0006407B"/>
    <w:rsid w:val="000648B8"/>
    <w:rsid w:val="00065D47"/>
    <w:rsid w:val="0006616C"/>
    <w:rsid w:val="00067446"/>
    <w:rsid w:val="00067DC8"/>
    <w:rsid w:val="00070FCF"/>
    <w:rsid w:val="00071F4D"/>
    <w:rsid w:val="000733D5"/>
    <w:rsid w:val="00073C01"/>
    <w:rsid w:val="00073D97"/>
    <w:rsid w:val="00074F89"/>
    <w:rsid w:val="00076309"/>
    <w:rsid w:val="00077D04"/>
    <w:rsid w:val="00080220"/>
    <w:rsid w:val="00080896"/>
    <w:rsid w:val="00080998"/>
    <w:rsid w:val="00081500"/>
    <w:rsid w:val="000831CF"/>
    <w:rsid w:val="00083787"/>
    <w:rsid w:val="0008460D"/>
    <w:rsid w:val="00084CDB"/>
    <w:rsid w:val="00085380"/>
    <w:rsid w:val="0008553C"/>
    <w:rsid w:val="00085F41"/>
    <w:rsid w:val="00085F6A"/>
    <w:rsid w:val="0008732F"/>
    <w:rsid w:val="00090B22"/>
    <w:rsid w:val="0009157E"/>
    <w:rsid w:val="000927AE"/>
    <w:rsid w:val="00093BFA"/>
    <w:rsid w:val="00093F3D"/>
    <w:rsid w:val="0009421D"/>
    <w:rsid w:val="00094698"/>
    <w:rsid w:val="00094C23"/>
    <w:rsid w:val="00094E9A"/>
    <w:rsid w:val="0009504F"/>
    <w:rsid w:val="00095C05"/>
    <w:rsid w:val="000971C8"/>
    <w:rsid w:val="000A0C49"/>
    <w:rsid w:val="000A0E51"/>
    <w:rsid w:val="000A3050"/>
    <w:rsid w:val="000A44A8"/>
    <w:rsid w:val="000A488E"/>
    <w:rsid w:val="000A6B2F"/>
    <w:rsid w:val="000A760D"/>
    <w:rsid w:val="000A7EF6"/>
    <w:rsid w:val="000B0349"/>
    <w:rsid w:val="000B121F"/>
    <w:rsid w:val="000B1811"/>
    <w:rsid w:val="000B2B7F"/>
    <w:rsid w:val="000B3345"/>
    <w:rsid w:val="000B341D"/>
    <w:rsid w:val="000B3FA5"/>
    <w:rsid w:val="000B4FEC"/>
    <w:rsid w:val="000B52A9"/>
    <w:rsid w:val="000C0C14"/>
    <w:rsid w:val="000C2840"/>
    <w:rsid w:val="000C2926"/>
    <w:rsid w:val="000C3AF9"/>
    <w:rsid w:val="000C4944"/>
    <w:rsid w:val="000C4978"/>
    <w:rsid w:val="000C54E9"/>
    <w:rsid w:val="000C7F51"/>
    <w:rsid w:val="000C7F63"/>
    <w:rsid w:val="000D129A"/>
    <w:rsid w:val="000D2030"/>
    <w:rsid w:val="000D3596"/>
    <w:rsid w:val="000D35E7"/>
    <w:rsid w:val="000D449B"/>
    <w:rsid w:val="000D44D2"/>
    <w:rsid w:val="000D47AE"/>
    <w:rsid w:val="000D6592"/>
    <w:rsid w:val="000D6832"/>
    <w:rsid w:val="000D7AA0"/>
    <w:rsid w:val="000E08C1"/>
    <w:rsid w:val="000E0961"/>
    <w:rsid w:val="000E0A5F"/>
    <w:rsid w:val="000E0EFE"/>
    <w:rsid w:val="000E1356"/>
    <w:rsid w:val="000E18F8"/>
    <w:rsid w:val="000E1A9F"/>
    <w:rsid w:val="000E2C89"/>
    <w:rsid w:val="000E369F"/>
    <w:rsid w:val="000E4F67"/>
    <w:rsid w:val="000E5329"/>
    <w:rsid w:val="000E5F7C"/>
    <w:rsid w:val="000E71CD"/>
    <w:rsid w:val="000F16C1"/>
    <w:rsid w:val="000F287F"/>
    <w:rsid w:val="000F4BE0"/>
    <w:rsid w:val="000F4FBF"/>
    <w:rsid w:val="000F6163"/>
    <w:rsid w:val="000F6758"/>
    <w:rsid w:val="000F6F71"/>
    <w:rsid w:val="000F7117"/>
    <w:rsid w:val="000F7D8F"/>
    <w:rsid w:val="001001E1"/>
    <w:rsid w:val="00100E29"/>
    <w:rsid w:val="00102D97"/>
    <w:rsid w:val="00105137"/>
    <w:rsid w:val="00105AAE"/>
    <w:rsid w:val="00105C4C"/>
    <w:rsid w:val="001067C8"/>
    <w:rsid w:val="00110BCB"/>
    <w:rsid w:val="00110CFF"/>
    <w:rsid w:val="00113D6B"/>
    <w:rsid w:val="001143C0"/>
    <w:rsid w:val="001144C5"/>
    <w:rsid w:val="00114B70"/>
    <w:rsid w:val="0011574F"/>
    <w:rsid w:val="00116CE2"/>
    <w:rsid w:val="00117F20"/>
    <w:rsid w:val="00122F7A"/>
    <w:rsid w:val="00123770"/>
    <w:rsid w:val="0012424F"/>
    <w:rsid w:val="00124A63"/>
    <w:rsid w:val="0012528B"/>
    <w:rsid w:val="001258E3"/>
    <w:rsid w:val="00125F53"/>
    <w:rsid w:val="001264BD"/>
    <w:rsid w:val="00126F12"/>
    <w:rsid w:val="00127291"/>
    <w:rsid w:val="001312AA"/>
    <w:rsid w:val="0013147E"/>
    <w:rsid w:val="0013211F"/>
    <w:rsid w:val="00132CA2"/>
    <w:rsid w:val="0013321F"/>
    <w:rsid w:val="00133538"/>
    <w:rsid w:val="00133C14"/>
    <w:rsid w:val="001349E3"/>
    <w:rsid w:val="00134C9F"/>
    <w:rsid w:val="00136508"/>
    <w:rsid w:val="0014041D"/>
    <w:rsid w:val="00140609"/>
    <w:rsid w:val="00140F37"/>
    <w:rsid w:val="00142072"/>
    <w:rsid w:val="00143806"/>
    <w:rsid w:val="00143E6E"/>
    <w:rsid w:val="00145004"/>
    <w:rsid w:val="001464BD"/>
    <w:rsid w:val="001479F6"/>
    <w:rsid w:val="00150031"/>
    <w:rsid w:val="00150B26"/>
    <w:rsid w:val="00155D0B"/>
    <w:rsid w:val="00155F62"/>
    <w:rsid w:val="00156874"/>
    <w:rsid w:val="001601BF"/>
    <w:rsid w:val="00160D02"/>
    <w:rsid w:val="001615A2"/>
    <w:rsid w:val="00162255"/>
    <w:rsid w:val="00164252"/>
    <w:rsid w:val="0016488D"/>
    <w:rsid w:val="0016671C"/>
    <w:rsid w:val="001668A8"/>
    <w:rsid w:val="00166B18"/>
    <w:rsid w:val="00166C59"/>
    <w:rsid w:val="0016708E"/>
    <w:rsid w:val="001711A7"/>
    <w:rsid w:val="00171276"/>
    <w:rsid w:val="00171876"/>
    <w:rsid w:val="00171CB7"/>
    <w:rsid w:val="001729A6"/>
    <w:rsid w:val="0017302E"/>
    <w:rsid w:val="001751A1"/>
    <w:rsid w:val="001773DA"/>
    <w:rsid w:val="0018165B"/>
    <w:rsid w:val="00181C10"/>
    <w:rsid w:val="00183ACD"/>
    <w:rsid w:val="00183BD7"/>
    <w:rsid w:val="00184100"/>
    <w:rsid w:val="00186CD8"/>
    <w:rsid w:val="00190789"/>
    <w:rsid w:val="00191917"/>
    <w:rsid w:val="00191A65"/>
    <w:rsid w:val="00194EE1"/>
    <w:rsid w:val="00197059"/>
    <w:rsid w:val="001970CD"/>
    <w:rsid w:val="00197D2B"/>
    <w:rsid w:val="001A09E1"/>
    <w:rsid w:val="001A157E"/>
    <w:rsid w:val="001A1C35"/>
    <w:rsid w:val="001A232F"/>
    <w:rsid w:val="001A25C9"/>
    <w:rsid w:val="001A51F7"/>
    <w:rsid w:val="001A62A6"/>
    <w:rsid w:val="001A697C"/>
    <w:rsid w:val="001A7666"/>
    <w:rsid w:val="001B0368"/>
    <w:rsid w:val="001B0900"/>
    <w:rsid w:val="001B12DB"/>
    <w:rsid w:val="001B1AEC"/>
    <w:rsid w:val="001B3620"/>
    <w:rsid w:val="001B3937"/>
    <w:rsid w:val="001B39D9"/>
    <w:rsid w:val="001B491B"/>
    <w:rsid w:val="001B5F19"/>
    <w:rsid w:val="001B6B2D"/>
    <w:rsid w:val="001B72CB"/>
    <w:rsid w:val="001B7692"/>
    <w:rsid w:val="001C1F6D"/>
    <w:rsid w:val="001C265A"/>
    <w:rsid w:val="001C28B2"/>
    <w:rsid w:val="001C2EA2"/>
    <w:rsid w:val="001C3778"/>
    <w:rsid w:val="001C63D5"/>
    <w:rsid w:val="001C67B2"/>
    <w:rsid w:val="001C709D"/>
    <w:rsid w:val="001C78CE"/>
    <w:rsid w:val="001D0513"/>
    <w:rsid w:val="001D10D4"/>
    <w:rsid w:val="001D1DC0"/>
    <w:rsid w:val="001D3C23"/>
    <w:rsid w:val="001D4241"/>
    <w:rsid w:val="001D5536"/>
    <w:rsid w:val="001D6489"/>
    <w:rsid w:val="001D7FE9"/>
    <w:rsid w:val="001E0E6C"/>
    <w:rsid w:val="001E120D"/>
    <w:rsid w:val="001E38E4"/>
    <w:rsid w:val="001E41D6"/>
    <w:rsid w:val="001E545A"/>
    <w:rsid w:val="001E561E"/>
    <w:rsid w:val="001E5AAE"/>
    <w:rsid w:val="001E73A8"/>
    <w:rsid w:val="001F1103"/>
    <w:rsid w:val="001F1BE9"/>
    <w:rsid w:val="001F1D22"/>
    <w:rsid w:val="001F455B"/>
    <w:rsid w:val="001F4C32"/>
    <w:rsid w:val="001F4CBA"/>
    <w:rsid w:val="001F69A6"/>
    <w:rsid w:val="00200571"/>
    <w:rsid w:val="002008AC"/>
    <w:rsid w:val="0020196F"/>
    <w:rsid w:val="0020370F"/>
    <w:rsid w:val="0020451E"/>
    <w:rsid w:val="00204C30"/>
    <w:rsid w:val="00204F93"/>
    <w:rsid w:val="00205777"/>
    <w:rsid w:val="0020668D"/>
    <w:rsid w:val="0020681C"/>
    <w:rsid w:val="00206A62"/>
    <w:rsid w:val="00206C68"/>
    <w:rsid w:val="00207259"/>
    <w:rsid w:val="00207B58"/>
    <w:rsid w:val="00210DCA"/>
    <w:rsid w:val="0021153B"/>
    <w:rsid w:val="00212228"/>
    <w:rsid w:val="002129DD"/>
    <w:rsid w:val="002131E4"/>
    <w:rsid w:val="00213E71"/>
    <w:rsid w:val="00215B62"/>
    <w:rsid w:val="00216006"/>
    <w:rsid w:val="002163E4"/>
    <w:rsid w:val="00216FF8"/>
    <w:rsid w:val="002177C1"/>
    <w:rsid w:val="00217B47"/>
    <w:rsid w:val="00220103"/>
    <w:rsid w:val="00220EC7"/>
    <w:rsid w:val="002224F1"/>
    <w:rsid w:val="00222F39"/>
    <w:rsid w:val="00223452"/>
    <w:rsid w:val="00224FA6"/>
    <w:rsid w:val="00225B7E"/>
    <w:rsid w:val="00226314"/>
    <w:rsid w:val="002270B4"/>
    <w:rsid w:val="00230FCF"/>
    <w:rsid w:val="00231543"/>
    <w:rsid w:val="0023205E"/>
    <w:rsid w:val="00232AE7"/>
    <w:rsid w:val="002335A7"/>
    <w:rsid w:val="00233A37"/>
    <w:rsid w:val="00235E3A"/>
    <w:rsid w:val="00237804"/>
    <w:rsid w:val="002404BF"/>
    <w:rsid w:val="00240594"/>
    <w:rsid w:val="00242859"/>
    <w:rsid w:val="00242ECE"/>
    <w:rsid w:val="002443C3"/>
    <w:rsid w:val="002444D2"/>
    <w:rsid w:val="00251006"/>
    <w:rsid w:val="0025119B"/>
    <w:rsid w:val="002514D6"/>
    <w:rsid w:val="00251635"/>
    <w:rsid w:val="00254124"/>
    <w:rsid w:val="00254B2F"/>
    <w:rsid w:val="002556BA"/>
    <w:rsid w:val="00256500"/>
    <w:rsid w:val="002565B5"/>
    <w:rsid w:val="0025759E"/>
    <w:rsid w:val="0026056A"/>
    <w:rsid w:val="002609EC"/>
    <w:rsid w:val="00260FBE"/>
    <w:rsid w:val="002624DC"/>
    <w:rsid w:val="0026275E"/>
    <w:rsid w:val="00262AA5"/>
    <w:rsid w:val="0026378F"/>
    <w:rsid w:val="00263BEA"/>
    <w:rsid w:val="00265623"/>
    <w:rsid w:val="00265BCF"/>
    <w:rsid w:val="00266BB0"/>
    <w:rsid w:val="00267810"/>
    <w:rsid w:val="0027185D"/>
    <w:rsid w:val="00271CB4"/>
    <w:rsid w:val="00272027"/>
    <w:rsid w:val="0027204E"/>
    <w:rsid w:val="00272643"/>
    <w:rsid w:val="00272AC3"/>
    <w:rsid w:val="00274999"/>
    <w:rsid w:val="0027570A"/>
    <w:rsid w:val="00276D5B"/>
    <w:rsid w:val="00277168"/>
    <w:rsid w:val="00277B61"/>
    <w:rsid w:val="00280407"/>
    <w:rsid w:val="00280EFA"/>
    <w:rsid w:val="002819F3"/>
    <w:rsid w:val="00281FFC"/>
    <w:rsid w:val="00283844"/>
    <w:rsid w:val="0028474C"/>
    <w:rsid w:val="002850B4"/>
    <w:rsid w:val="002857F0"/>
    <w:rsid w:val="00286D93"/>
    <w:rsid w:val="002879B1"/>
    <w:rsid w:val="00290280"/>
    <w:rsid w:val="00290A51"/>
    <w:rsid w:val="00293F02"/>
    <w:rsid w:val="00294943"/>
    <w:rsid w:val="00294B66"/>
    <w:rsid w:val="00294FC4"/>
    <w:rsid w:val="002950DE"/>
    <w:rsid w:val="0029539B"/>
    <w:rsid w:val="002960CE"/>
    <w:rsid w:val="0029779E"/>
    <w:rsid w:val="00297A8E"/>
    <w:rsid w:val="002A15B3"/>
    <w:rsid w:val="002A15FE"/>
    <w:rsid w:val="002A1DC1"/>
    <w:rsid w:val="002A1E92"/>
    <w:rsid w:val="002A2341"/>
    <w:rsid w:val="002A25AA"/>
    <w:rsid w:val="002A3398"/>
    <w:rsid w:val="002A59A5"/>
    <w:rsid w:val="002A6961"/>
    <w:rsid w:val="002A70F9"/>
    <w:rsid w:val="002A7449"/>
    <w:rsid w:val="002A7C89"/>
    <w:rsid w:val="002A7F75"/>
    <w:rsid w:val="002B149D"/>
    <w:rsid w:val="002B1CD0"/>
    <w:rsid w:val="002B1EC1"/>
    <w:rsid w:val="002B1F5F"/>
    <w:rsid w:val="002B215F"/>
    <w:rsid w:val="002B2575"/>
    <w:rsid w:val="002B446F"/>
    <w:rsid w:val="002B4834"/>
    <w:rsid w:val="002B51DA"/>
    <w:rsid w:val="002C4523"/>
    <w:rsid w:val="002C4E25"/>
    <w:rsid w:val="002C5145"/>
    <w:rsid w:val="002C556A"/>
    <w:rsid w:val="002C758E"/>
    <w:rsid w:val="002C7A26"/>
    <w:rsid w:val="002D0031"/>
    <w:rsid w:val="002D066A"/>
    <w:rsid w:val="002D0A9F"/>
    <w:rsid w:val="002D14F0"/>
    <w:rsid w:val="002D32AE"/>
    <w:rsid w:val="002D3A1C"/>
    <w:rsid w:val="002D3A4B"/>
    <w:rsid w:val="002D4362"/>
    <w:rsid w:val="002D4B81"/>
    <w:rsid w:val="002D63C6"/>
    <w:rsid w:val="002D6964"/>
    <w:rsid w:val="002D78B2"/>
    <w:rsid w:val="002D7DAF"/>
    <w:rsid w:val="002D7E73"/>
    <w:rsid w:val="002E0A61"/>
    <w:rsid w:val="002E0B40"/>
    <w:rsid w:val="002E11BC"/>
    <w:rsid w:val="002E1EA0"/>
    <w:rsid w:val="002E3395"/>
    <w:rsid w:val="002E3F09"/>
    <w:rsid w:val="002E4822"/>
    <w:rsid w:val="002E56E2"/>
    <w:rsid w:val="002E5D9A"/>
    <w:rsid w:val="002E5E1B"/>
    <w:rsid w:val="002E714D"/>
    <w:rsid w:val="002F075F"/>
    <w:rsid w:val="002F1908"/>
    <w:rsid w:val="002F1B01"/>
    <w:rsid w:val="002F3A21"/>
    <w:rsid w:val="002F50BC"/>
    <w:rsid w:val="00300467"/>
    <w:rsid w:val="003026B5"/>
    <w:rsid w:val="0030426C"/>
    <w:rsid w:val="00304727"/>
    <w:rsid w:val="00305263"/>
    <w:rsid w:val="00305D38"/>
    <w:rsid w:val="003102B3"/>
    <w:rsid w:val="00310D03"/>
    <w:rsid w:val="00311FE0"/>
    <w:rsid w:val="00313488"/>
    <w:rsid w:val="0031529C"/>
    <w:rsid w:val="0031628E"/>
    <w:rsid w:val="00316805"/>
    <w:rsid w:val="00316911"/>
    <w:rsid w:val="00317F2D"/>
    <w:rsid w:val="00317F37"/>
    <w:rsid w:val="00320538"/>
    <w:rsid w:val="00321BF8"/>
    <w:rsid w:val="00321C86"/>
    <w:rsid w:val="00324D73"/>
    <w:rsid w:val="00327C49"/>
    <w:rsid w:val="00327CDA"/>
    <w:rsid w:val="003317DB"/>
    <w:rsid w:val="00332C02"/>
    <w:rsid w:val="00333DF3"/>
    <w:rsid w:val="00335367"/>
    <w:rsid w:val="00336CA0"/>
    <w:rsid w:val="003440DC"/>
    <w:rsid w:val="00345E01"/>
    <w:rsid w:val="00347385"/>
    <w:rsid w:val="00347F5D"/>
    <w:rsid w:val="003506E8"/>
    <w:rsid w:val="00350748"/>
    <w:rsid w:val="00350E75"/>
    <w:rsid w:val="00352BC0"/>
    <w:rsid w:val="00352D5F"/>
    <w:rsid w:val="0035411C"/>
    <w:rsid w:val="00354476"/>
    <w:rsid w:val="003546BD"/>
    <w:rsid w:val="00354807"/>
    <w:rsid w:val="00355719"/>
    <w:rsid w:val="003563CC"/>
    <w:rsid w:val="00360676"/>
    <w:rsid w:val="003609FA"/>
    <w:rsid w:val="00360A9C"/>
    <w:rsid w:val="00361AEB"/>
    <w:rsid w:val="00362FE6"/>
    <w:rsid w:val="003631F7"/>
    <w:rsid w:val="0036602F"/>
    <w:rsid w:val="00367339"/>
    <w:rsid w:val="00370F09"/>
    <w:rsid w:val="003725E0"/>
    <w:rsid w:val="00375CD5"/>
    <w:rsid w:val="00375DB1"/>
    <w:rsid w:val="003769CC"/>
    <w:rsid w:val="00376C7D"/>
    <w:rsid w:val="00377BCD"/>
    <w:rsid w:val="0038023E"/>
    <w:rsid w:val="00381754"/>
    <w:rsid w:val="00381F45"/>
    <w:rsid w:val="00381F79"/>
    <w:rsid w:val="003821BB"/>
    <w:rsid w:val="00382D49"/>
    <w:rsid w:val="00382F18"/>
    <w:rsid w:val="003852E9"/>
    <w:rsid w:val="003867FA"/>
    <w:rsid w:val="00390553"/>
    <w:rsid w:val="0039063C"/>
    <w:rsid w:val="00390906"/>
    <w:rsid w:val="00397831"/>
    <w:rsid w:val="00397C59"/>
    <w:rsid w:val="00397C90"/>
    <w:rsid w:val="003A0E88"/>
    <w:rsid w:val="003A18E6"/>
    <w:rsid w:val="003A1C9A"/>
    <w:rsid w:val="003A3256"/>
    <w:rsid w:val="003A440D"/>
    <w:rsid w:val="003A4A74"/>
    <w:rsid w:val="003A5165"/>
    <w:rsid w:val="003A6D19"/>
    <w:rsid w:val="003A7B7E"/>
    <w:rsid w:val="003B1285"/>
    <w:rsid w:val="003B2716"/>
    <w:rsid w:val="003B3E62"/>
    <w:rsid w:val="003B4883"/>
    <w:rsid w:val="003B4B8A"/>
    <w:rsid w:val="003B543A"/>
    <w:rsid w:val="003B63E8"/>
    <w:rsid w:val="003B68B5"/>
    <w:rsid w:val="003B6C97"/>
    <w:rsid w:val="003B7148"/>
    <w:rsid w:val="003B778B"/>
    <w:rsid w:val="003B7AFD"/>
    <w:rsid w:val="003C1879"/>
    <w:rsid w:val="003C260F"/>
    <w:rsid w:val="003C3AF2"/>
    <w:rsid w:val="003C3BB6"/>
    <w:rsid w:val="003C4052"/>
    <w:rsid w:val="003C4406"/>
    <w:rsid w:val="003C4668"/>
    <w:rsid w:val="003C58C4"/>
    <w:rsid w:val="003C686E"/>
    <w:rsid w:val="003C6F57"/>
    <w:rsid w:val="003D0A6F"/>
    <w:rsid w:val="003D2082"/>
    <w:rsid w:val="003D20F0"/>
    <w:rsid w:val="003D2F5E"/>
    <w:rsid w:val="003D4E6D"/>
    <w:rsid w:val="003D680A"/>
    <w:rsid w:val="003D6EA6"/>
    <w:rsid w:val="003D6F35"/>
    <w:rsid w:val="003E0E20"/>
    <w:rsid w:val="003E0F88"/>
    <w:rsid w:val="003E1F30"/>
    <w:rsid w:val="003E2056"/>
    <w:rsid w:val="003E2816"/>
    <w:rsid w:val="003E3137"/>
    <w:rsid w:val="003E3F28"/>
    <w:rsid w:val="003E4FCA"/>
    <w:rsid w:val="003E55D7"/>
    <w:rsid w:val="003E60E8"/>
    <w:rsid w:val="003E7CD5"/>
    <w:rsid w:val="003F1A30"/>
    <w:rsid w:val="003F40F2"/>
    <w:rsid w:val="003F5143"/>
    <w:rsid w:val="003F6019"/>
    <w:rsid w:val="003F7BEE"/>
    <w:rsid w:val="003F7C28"/>
    <w:rsid w:val="003F7FB0"/>
    <w:rsid w:val="00400872"/>
    <w:rsid w:val="00400985"/>
    <w:rsid w:val="00401330"/>
    <w:rsid w:val="004029DD"/>
    <w:rsid w:val="00403297"/>
    <w:rsid w:val="004044C9"/>
    <w:rsid w:val="004058E3"/>
    <w:rsid w:val="00407D55"/>
    <w:rsid w:val="0041165C"/>
    <w:rsid w:val="0041438F"/>
    <w:rsid w:val="0041507F"/>
    <w:rsid w:val="0041587E"/>
    <w:rsid w:val="004168E4"/>
    <w:rsid w:val="00417580"/>
    <w:rsid w:val="00417982"/>
    <w:rsid w:val="0042025F"/>
    <w:rsid w:val="00420D3D"/>
    <w:rsid w:val="00421B23"/>
    <w:rsid w:val="00421C0C"/>
    <w:rsid w:val="00423A43"/>
    <w:rsid w:val="004242C8"/>
    <w:rsid w:val="00426282"/>
    <w:rsid w:val="00426A45"/>
    <w:rsid w:val="00427F2D"/>
    <w:rsid w:val="004300E2"/>
    <w:rsid w:val="004301E5"/>
    <w:rsid w:val="004309D2"/>
    <w:rsid w:val="00430F5A"/>
    <w:rsid w:val="004321A6"/>
    <w:rsid w:val="00433F13"/>
    <w:rsid w:val="00434050"/>
    <w:rsid w:val="00436587"/>
    <w:rsid w:val="0043679E"/>
    <w:rsid w:val="00440AAE"/>
    <w:rsid w:val="0044175E"/>
    <w:rsid w:val="00441DD2"/>
    <w:rsid w:val="0044201D"/>
    <w:rsid w:val="0044323C"/>
    <w:rsid w:val="00444367"/>
    <w:rsid w:val="00445527"/>
    <w:rsid w:val="004465FA"/>
    <w:rsid w:val="00446FA8"/>
    <w:rsid w:val="004475D3"/>
    <w:rsid w:val="00447B91"/>
    <w:rsid w:val="00450DA4"/>
    <w:rsid w:val="004517FA"/>
    <w:rsid w:val="00452227"/>
    <w:rsid w:val="004525F0"/>
    <w:rsid w:val="00452E6B"/>
    <w:rsid w:val="00454349"/>
    <w:rsid w:val="00454AEF"/>
    <w:rsid w:val="0045509A"/>
    <w:rsid w:val="00455A21"/>
    <w:rsid w:val="00455FAE"/>
    <w:rsid w:val="0045786E"/>
    <w:rsid w:val="004621DB"/>
    <w:rsid w:val="004628D3"/>
    <w:rsid w:val="00465EC9"/>
    <w:rsid w:val="00466EB1"/>
    <w:rsid w:val="00470548"/>
    <w:rsid w:val="00470CA7"/>
    <w:rsid w:val="0047215F"/>
    <w:rsid w:val="00472220"/>
    <w:rsid w:val="0047267C"/>
    <w:rsid w:val="00472930"/>
    <w:rsid w:val="00474295"/>
    <w:rsid w:val="004762FD"/>
    <w:rsid w:val="00476E1D"/>
    <w:rsid w:val="004805FE"/>
    <w:rsid w:val="00482C43"/>
    <w:rsid w:val="00484FC3"/>
    <w:rsid w:val="00490C9A"/>
    <w:rsid w:val="004917AF"/>
    <w:rsid w:val="004917C1"/>
    <w:rsid w:val="00492FB8"/>
    <w:rsid w:val="0049353F"/>
    <w:rsid w:val="00497930"/>
    <w:rsid w:val="00497FBE"/>
    <w:rsid w:val="004A279F"/>
    <w:rsid w:val="004A2829"/>
    <w:rsid w:val="004A2E0D"/>
    <w:rsid w:val="004A2F3A"/>
    <w:rsid w:val="004A4C8B"/>
    <w:rsid w:val="004B20CA"/>
    <w:rsid w:val="004B2953"/>
    <w:rsid w:val="004B2A66"/>
    <w:rsid w:val="004B4A18"/>
    <w:rsid w:val="004B4CA7"/>
    <w:rsid w:val="004B710C"/>
    <w:rsid w:val="004B7225"/>
    <w:rsid w:val="004C05FB"/>
    <w:rsid w:val="004C250E"/>
    <w:rsid w:val="004C2BD5"/>
    <w:rsid w:val="004C3084"/>
    <w:rsid w:val="004C312B"/>
    <w:rsid w:val="004C459F"/>
    <w:rsid w:val="004C49B0"/>
    <w:rsid w:val="004C52B4"/>
    <w:rsid w:val="004C65A8"/>
    <w:rsid w:val="004C7BFE"/>
    <w:rsid w:val="004D0183"/>
    <w:rsid w:val="004D1E3B"/>
    <w:rsid w:val="004D23B1"/>
    <w:rsid w:val="004D2D02"/>
    <w:rsid w:val="004D2EFA"/>
    <w:rsid w:val="004D3E75"/>
    <w:rsid w:val="004D4A74"/>
    <w:rsid w:val="004D5999"/>
    <w:rsid w:val="004E0661"/>
    <w:rsid w:val="004E079F"/>
    <w:rsid w:val="004E182D"/>
    <w:rsid w:val="004E1E15"/>
    <w:rsid w:val="004E275A"/>
    <w:rsid w:val="004E3C07"/>
    <w:rsid w:val="004E4301"/>
    <w:rsid w:val="004F1706"/>
    <w:rsid w:val="004F1EB3"/>
    <w:rsid w:val="004F2BD4"/>
    <w:rsid w:val="004F33D7"/>
    <w:rsid w:val="004F3CDC"/>
    <w:rsid w:val="004F5012"/>
    <w:rsid w:val="004F579A"/>
    <w:rsid w:val="004F5B22"/>
    <w:rsid w:val="004F686F"/>
    <w:rsid w:val="00500A8C"/>
    <w:rsid w:val="00501D6E"/>
    <w:rsid w:val="005040BD"/>
    <w:rsid w:val="005044A1"/>
    <w:rsid w:val="005052AB"/>
    <w:rsid w:val="005053ED"/>
    <w:rsid w:val="00505DD2"/>
    <w:rsid w:val="005105FE"/>
    <w:rsid w:val="00510A4A"/>
    <w:rsid w:val="00510E47"/>
    <w:rsid w:val="00511CD6"/>
    <w:rsid w:val="00512E8F"/>
    <w:rsid w:val="00513292"/>
    <w:rsid w:val="00513B86"/>
    <w:rsid w:val="00513F07"/>
    <w:rsid w:val="00514991"/>
    <w:rsid w:val="00514CF1"/>
    <w:rsid w:val="00516676"/>
    <w:rsid w:val="005166D7"/>
    <w:rsid w:val="00517A89"/>
    <w:rsid w:val="00520DB8"/>
    <w:rsid w:val="005224AB"/>
    <w:rsid w:val="00523AE2"/>
    <w:rsid w:val="005263E9"/>
    <w:rsid w:val="005278C7"/>
    <w:rsid w:val="005279A0"/>
    <w:rsid w:val="00527B70"/>
    <w:rsid w:val="00527D41"/>
    <w:rsid w:val="00527FA5"/>
    <w:rsid w:val="005303C0"/>
    <w:rsid w:val="005324FE"/>
    <w:rsid w:val="00534B25"/>
    <w:rsid w:val="00535D34"/>
    <w:rsid w:val="00535DCC"/>
    <w:rsid w:val="00536C77"/>
    <w:rsid w:val="00540B16"/>
    <w:rsid w:val="00540EF8"/>
    <w:rsid w:val="005414D6"/>
    <w:rsid w:val="00542A38"/>
    <w:rsid w:val="00543553"/>
    <w:rsid w:val="00544176"/>
    <w:rsid w:val="00545F35"/>
    <w:rsid w:val="0054650A"/>
    <w:rsid w:val="00547367"/>
    <w:rsid w:val="0054754C"/>
    <w:rsid w:val="005479A2"/>
    <w:rsid w:val="00547F74"/>
    <w:rsid w:val="00547FF4"/>
    <w:rsid w:val="005500ED"/>
    <w:rsid w:val="005531CE"/>
    <w:rsid w:val="00554138"/>
    <w:rsid w:val="0055486F"/>
    <w:rsid w:val="00554DFE"/>
    <w:rsid w:val="005559D7"/>
    <w:rsid w:val="0055677A"/>
    <w:rsid w:val="00556EDB"/>
    <w:rsid w:val="00557B38"/>
    <w:rsid w:val="00557BB7"/>
    <w:rsid w:val="00561061"/>
    <w:rsid w:val="00561928"/>
    <w:rsid w:val="005642E1"/>
    <w:rsid w:val="0056447F"/>
    <w:rsid w:val="005648BB"/>
    <w:rsid w:val="00564A2C"/>
    <w:rsid w:val="0056579A"/>
    <w:rsid w:val="005660B6"/>
    <w:rsid w:val="00566404"/>
    <w:rsid w:val="00566586"/>
    <w:rsid w:val="00570E39"/>
    <w:rsid w:val="00571F02"/>
    <w:rsid w:val="00572651"/>
    <w:rsid w:val="005730A0"/>
    <w:rsid w:val="00573623"/>
    <w:rsid w:val="00576183"/>
    <w:rsid w:val="0057656E"/>
    <w:rsid w:val="00576CCE"/>
    <w:rsid w:val="00580789"/>
    <w:rsid w:val="0058158A"/>
    <w:rsid w:val="005824C0"/>
    <w:rsid w:val="0058285E"/>
    <w:rsid w:val="00582FA6"/>
    <w:rsid w:val="0058347F"/>
    <w:rsid w:val="00583D20"/>
    <w:rsid w:val="0058533C"/>
    <w:rsid w:val="00586E47"/>
    <w:rsid w:val="005909A6"/>
    <w:rsid w:val="00591A07"/>
    <w:rsid w:val="005922A7"/>
    <w:rsid w:val="00592F29"/>
    <w:rsid w:val="00593CF9"/>
    <w:rsid w:val="00594E0E"/>
    <w:rsid w:val="00596C92"/>
    <w:rsid w:val="00596FE2"/>
    <w:rsid w:val="005A12B0"/>
    <w:rsid w:val="005A2292"/>
    <w:rsid w:val="005A26AC"/>
    <w:rsid w:val="005A313B"/>
    <w:rsid w:val="005A5BA7"/>
    <w:rsid w:val="005A796F"/>
    <w:rsid w:val="005A7FC3"/>
    <w:rsid w:val="005B0A25"/>
    <w:rsid w:val="005B1566"/>
    <w:rsid w:val="005B1603"/>
    <w:rsid w:val="005B365B"/>
    <w:rsid w:val="005B3DE4"/>
    <w:rsid w:val="005B4E98"/>
    <w:rsid w:val="005B53A1"/>
    <w:rsid w:val="005B73BE"/>
    <w:rsid w:val="005B7973"/>
    <w:rsid w:val="005C07FA"/>
    <w:rsid w:val="005C1476"/>
    <w:rsid w:val="005C483F"/>
    <w:rsid w:val="005D03D9"/>
    <w:rsid w:val="005D1289"/>
    <w:rsid w:val="005D2506"/>
    <w:rsid w:val="005D34F5"/>
    <w:rsid w:val="005D3527"/>
    <w:rsid w:val="005D5E7F"/>
    <w:rsid w:val="005D6370"/>
    <w:rsid w:val="005D66E6"/>
    <w:rsid w:val="005D6BF4"/>
    <w:rsid w:val="005D7A9D"/>
    <w:rsid w:val="005E132A"/>
    <w:rsid w:val="005E1DF5"/>
    <w:rsid w:val="005E1EA8"/>
    <w:rsid w:val="005E269F"/>
    <w:rsid w:val="005E303E"/>
    <w:rsid w:val="005E4291"/>
    <w:rsid w:val="005E5D58"/>
    <w:rsid w:val="005E61F1"/>
    <w:rsid w:val="005F02D5"/>
    <w:rsid w:val="005F151E"/>
    <w:rsid w:val="005F1C0A"/>
    <w:rsid w:val="005F2E2F"/>
    <w:rsid w:val="005F4121"/>
    <w:rsid w:val="005F4C5D"/>
    <w:rsid w:val="005F6941"/>
    <w:rsid w:val="005F6AD7"/>
    <w:rsid w:val="005F7D0B"/>
    <w:rsid w:val="0060019E"/>
    <w:rsid w:val="00600DBD"/>
    <w:rsid w:val="006032A7"/>
    <w:rsid w:val="00603777"/>
    <w:rsid w:val="00605250"/>
    <w:rsid w:val="006054E0"/>
    <w:rsid w:val="00605722"/>
    <w:rsid w:val="00605DC6"/>
    <w:rsid w:val="006073D2"/>
    <w:rsid w:val="0060765B"/>
    <w:rsid w:val="00607F60"/>
    <w:rsid w:val="00607FCB"/>
    <w:rsid w:val="0061003F"/>
    <w:rsid w:val="00610945"/>
    <w:rsid w:val="00610DB7"/>
    <w:rsid w:val="006118B0"/>
    <w:rsid w:val="006148F2"/>
    <w:rsid w:val="006152A9"/>
    <w:rsid w:val="00616305"/>
    <w:rsid w:val="00616512"/>
    <w:rsid w:val="00616F0F"/>
    <w:rsid w:val="00617DFF"/>
    <w:rsid w:val="00617E95"/>
    <w:rsid w:val="006204BF"/>
    <w:rsid w:val="0062061F"/>
    <w:rsid w:val="00622816"/>
    <w:rsid w:val="00622E6A"/>
    <w:rsid w:val="006240FE"/>
    <w:rsid w:val="00624C88"/>
    <w:rsid w:val="00624D45"/>
    <w:rsid w:val="00625B82"/>
    <w:rsid w:val="00626D85"/>
    <w:rsid w:val="0062718F"/>
    <w:rsid w:val="006271AB"/>
    <w:rsid w:val="006277A0"/>
    <w:rsid w:val="00627DDF"/>
    <w:rsid w:val="006303AD"/>
    <w:rsid w:val="006305A3"/>
    <w:rsid w:val="0063087C"/>
    <w:rsid w:val="00631F21"/>
    <w:rsid w:val="00632490"/>
    <w:rsid w:val="00633B4A"/>
    <w:rsid w:val="006352AE"/>
    <w:rsid w:val="006362A1"/>
    <w:rsid w:val="006364B7"/>
    <w:rsid w:val="00637319"/>
    <w:rsid w:val="006434BA"/>
    <w:rsid w:val="006476B4"/>
    <w:rsid w:val="00647856"/>
    <w:rsid w:val="00650CE7"/>
    <w:rsid w:val="00651056"/>
    <w:rsid w:val="00651276"/>
    <w:rsid w:val="006514A1"/>
    <w:rsid w:val="00651948"/>
    <w:rsid w:val="00651F9A"/>
    <w:rsid w:val="00656636"/>
    <w:rsid w:val="00656A0B"/>
    <w:rsid w:val="006618B6"/>
    <w:rsid w:val="0066269C"/>
    <w:rsid w:val="00663E07"/>
    <w:rsid w:val="00664375"/>
    <w:rsid w:val="00667653"/>
    <w:rsid w:val="006703A5"/>
    <w:rsid w:val="006708B5"/>
    <w:rsid w:val="00670BC5"/>
    <w:rsid w:val="006724E1"/>
    <w:rsid w:val="0067260E"/>
    <w:rsid w:val="00672C64"/>
    <w:rsid w:val="00675421"/>
    <w:rsid w:val="00675B3B"/>
    <w:rsid w:val="0067744D"/>
    <w:rsid w:val="006777AD"/>
    <w:rsid w:val="00677A22"/>
    <w:rsid w:val="00680081"/>
    <w:rsid w:val="0068034C"/>
    <w:rsid w:val="006810F7"/>
    <w:rsid w:val="00681486"/>
    <w:rsid w:val="00681772"/>
    <w:rsid w:val="00683EE4"/>
    <w:rsid w:val="00684927"/>
    <w:rsid w:val="00684941"/>
    <w:rsid w:val="00685246"/>
    <w:rsid w:val="0069085A"/>
    <w:rsid w:val="00693578"/>
    <w:rsid w:val="0069427D"/>
    <w:rsid w:val="006964F5"/>
    <w:rsid w:val="006978F1"/>
    <w:rsid w:val="006A06EC"/>
    <w:rsid w:val="006A0C5B"/>
    <w:rsid w:val="006A1CDF"/>
    <w:rsid w:val="006A250D"/>
    <w:rsid w:val="006A2C4F"/>
    <w:rsid w:val="006A3DEE"/>
    <w:rsid w:val="006A4AC6"/>
    <w:rsid w:val="006A50EA"/>
    <w:rsid w:val="006A5CA0"/>
    <w:rsid w:val="006A5E6B"/>
    <w:rsid w:val="006A7C24"/>
    <w:rsid w:val="006B1224"/>
    <w:rsid w:val="006B1873"/>
    <w:rsid w:val="006B4292"/>
    <w:rsid w:val="006B4855"/>
    <w:rsid w:val="006B5B9D"/>
    <w:rsid w:val="006C192A"/>
    <w:rsid w:val="006C1D92"/>
    <w:rsid w:val="006C282E"/>
    <w:rsid w:val="006C3688"/>
    <w:rsid w:val="006C3742"/>
    <w:rsid w:val="006C42C2"/>
    <w:rsid w:val="006C4DDC"/>
    <w:rsid w:val="006C6352"/>
    <w:rsid w:val="006C645A"/>
    <w:rsid w:val="006D07CE"/>
    <w:rsid w:val="006D0983"/>
    <w:rsid w:val="006D229E"/>
    <w:rsid w:val="006D6865"/>
    <w:rsid w:val="006E0CD0"/>
    <w:rsid w:val="006E1A0A"/>
    <w:rsid w:val="006E1E6A"/>
    <w:rsid w:val="006E270A"/>
    <w:rsid w:val="006E3C1C"/>
    <w:rsid w:val="006E45A6"/>
    <w:rsid w:val="006E467C"/>
    <w:rsid w:val="006E4E89"/>
    <w:rsid w:val="006E60DA"/>
    <w:rsid w:val="006E7987"/>
    <w:rsid w:val="006F0049"/>
    <w:rsid w:val="006F0D63"/>
    <w:rsid w:val="006F36F7"/>
    <w:rsid w:val="006F3980"/>
    <w:rsid w:val="006F414E"/>
    <w:rsid w:val="006F427C"/>
    <w:rsid w:val="006F4628"/>
    <w:rsid w:val="006F4B4F"/>
    <w:rsid w:val="006F4E11"/>
    <w:rsid w:val="006F5121"/>
    <w:rsid w:val="006F6408"/>
    <w:rsid w:val="006F66FA"/>
    <w:rsid w:val="006F6919"/>
    <w:rsid w:val="006F7B34"/>
    <w:rsid w:val="006F7E52"/>
    <w:rsid w:val="0070042A"/>
    <w:rsid w:val="00703909"/>
    <w:rsid w:val="00703DFC"/>
    <w:rsid w:val="0070602F"/>
    <w:rsid w:val="0071047D"/>
    <w:rsid w:val="007108A0"/>
    <w:rsid w:val="00711CE2"/>
    <w:rsid w:val="00712CA0"/>
    <w:rsid w:val="00713D89"/>
    <w:rsid w:val="00713EA7"/>
    <w:rsid w:val="00716355"/>
    <w:rsid w:val="00716EF1"/>
    <w:rsid w:val="00720BEA"/>
    <w:rsid w:val="00720D40"/>
    <w:rsid w:val="00723893"/>
    <w:rsid w:val="00724586"/>
    <w:rsid w:val="00725B49"/>
    <w:rsid w:val="00725DBB"/>
    <w:rsid w:val="0072779F"/>
    <w:rsid w:val="00732E10"/>
    <w:rsid w:val="00733375"/>
    <w:rsid w:val="00733DA8"/>
    <w:rsid w:val="00733EE7"/>
    <w:rsid w:val="007350DA"/>
    <w:rsid w:val="00736970"/>
    <w:rsid w:val="00737BB9"/>
    <w:rsid w:val="007421B7"/>
    <w:rsid w:val="0074295C"/>
    <w:rsid w:val="007441E3"/>
    <w:rsid w:val="0074434A"/>
    <w:rsid w:val="007461A1"/>
    <w:rsid w:val="007471E2"/>
    <w:rsid w:val="00750A6E"/>
    <w:rsid w:val="00752653"/>
    <w:rsid w:val="00753D4A"/>
    <w:rsid w:val="00754E03"/>
    <w:rsid w:val="00755BA5"/>
    <w:rsid w:val="0075653E"/>
    <w:rsid w:val="00757548"/>
    <w:rsid w:val="00757A86"/>
    <w:rsid w:val="00757F85"/>
    <w:rsid w:val="00760398"/>
    <w:rsid w:val="0076064D"/>
    <w:rsid w:val="00761D4A"/>
    <w:rsid w:val="007633EC"/>
    <w:rsid w:val="0076641D"/>
    <w:rsid w:val="00766F24"/>
    <w:rsid w:val="00767CD0"/>
    <w:rsid w:val="00770DA6"/>
    <w:rsid w:val="0077196B"/>
    <w:rsid w:val="00772195"/>
    <w:rsid w:val="00772E1A"/>
    <w:rsid w:val="0077358E"/>
    <w:rsid w:val="00773D56"/>
    <w:rsid w:val="00774DA9"/>
    <w:rsid w:val="007751C0"/>
    <w:rsid w:val="00775E70"/>
    <w:rsid w:val="00775F64"/>
    <w:rsid w:val="0077767D"/>
    <w:rsid w:val="007801B1"/>
    <w:rsid w:val="00780368"/>
    <w:rsid w:val="00782D09"/>
    <w:rsid w:val="00785D47"/>
    <w:rsid w:val="00785FA3"/>
    <w:rsid w:val="007860FD"/>
    <w:rsid w:val="0078660F"/>
    <w:rsid w:val="00786EC7"/>
    <w:rsid w:val="00787682"/>
    <w:rsid w:val="00787BAB"/>
    <w:rsid w:val="00787CF6"/>
    <w:rsid w:val="00787D98"/>
    <w:rsid w:val="00787E45"/>
    <w:rsid w:val="00790B99"/>
    <w:rsid w:val="00791377"/>
    <w:rsid w:val="007921A5"/>
    <w:rsid w:val="0079325C"/>
    <w:rsid w:val="00793748"/>
    <w:rsid w:val="0079524F"/>
    <w:rsid w:val="0079547B"/>
    <w:rsid w:val="0079552D"/>
    <w:rsid w:val="007955E1"/>
    <w:rsid w:val="007956FB"/>
    <w:rsid w:val="00795CD6"/>
    <w:rsid w:val="0079768B"/>
    <w:rsid w:val="007976AE"/>
    <w:rsid w:val="00797A25"/>
    <w:rsid w:val="00797FB0"/>
    <w:rsid w:val="007A04B7"/>
    <w:rsid w:val="007A0B3F"/>
    <w:rsid w:val="007A1370"/>
    <w:rsid w:val="007A26B5"/>
    <w:rsid w:val="007A3109"/>
    <w:rsid w:val="007A3600"/>
    <w:rsid w:val="007A38BC"/>
    <w:rsid w:val="007A4B7E"/>
    <w:rsid w:val="007A679C"/>
    <w:rsid w:val="007A6ADB"/>
    <w:rsid w:val="007A76ED"/>
    <w:rsid w:val="007B21C9"/>
    <w:rsid w:val="007B27FE"/>
    <w:rsid w:val="007B30A1"/>
    <w:rsid w:val="007B4062"/>
    <w:rsid w:val="007B4248"/>
    <w:rsid w:val="007B4F8C"/>
    <w:rsid w:val="007B522D"/>
    <w:rsid w:val="007B5A32"/>
    <w:rsid w:val="007B5BC5"/>
    <w:rsid w:val="007B6E31"/>
    <w:rsid w:val="007B70B3"/>
    <w:rsid w:val="007B74BD"/>
    <w:rsid w:val="007B7580"/>
    <w:rsid w:val="007B7827"/>
    <w:rsid w:val="007C11AB"/>
    <w:rsid w:val="007C1C20"/>
    <w:rsid w:val="007C33D4"/>
    <w:rsid w:val="007C3AAD"/>
    <w:rsid w:val="007C47B9"/>
    <w:rsid w:val="007C55A8"/>
    <w:rsid w:val="007C642C"/>
    <w:rsid w:val="007C6F51"/>
    <w:rsid w:val="007C7E1F"/>
    <w:rsid w:val="007D0709"/>
    <w:rsid w:val="007D0E53"/>
    <w:rsid w:val="007D1168"/>
    <w:rsid w:val="007D1279"/>
    <w:rsid w:val="007D236A"/>
    <w:rsid w:val="007D3271"/>
    <w:rsid w:val="007D3565"/>
    <w:rsid w:val="007D3E3C"/>
    <w:rsid w:val="007D41B7"/>
    <w:rsid w:val="007D4699"/>
    <w:rsid w:val="007D48D6"/>
    <w:rsid w:val="007D6570"/>
    <w:rsid w:val="007D7D46"/>
    <w:rsid w:val="007E145C"/>
    <w:rsid w:val="007E1B39"/>
    <w:rsid w:val="007E36EC"/>
    <w:rsid w:val="007E53A4"/>
    <w:rsid w:val="007E67A5"/>
    <w:rsid w:val="007F2BC4"/>
    <w:rsid w:val="007F2C32"/>
    <w:rsid w:val="007F340B"/>
    <w:rsid w:val="007F3413"/>
    <w:rsid w:val="007F3555"/>
    <w:rsid w:val="007F398B"/>
    <w:rsid w:val="007F4DC1"/>
    <w:rsid w:val="0080044D"/>
    <w:rsid w:val="00801E8F"/>
    <w:rsid w:val="00803371"/>
    <w:rsid w:val="00803A76"/>
    <w:rsid w:val="00803CDD"/>
    <w:rsid w:val="008057CC"/>
    <w:rsid w:val="00805B6E"/>
    <w:rsid w:val="00806355"/>
    <w:rsid w:val="00812088"/>
    <w:rsid w:val="00812EEF"/>
    <w:rsid w:val="00815E5C"/>
    <w:rsid w:val="008168E0"/>
    <w:rsid w:val="008169EA"/>
    <w:rsid w:val="00816A85"/>
    <w:rsid w:val="00817C79"/>
    <w:rsid w:val="00823056"/>
    <w:rsid w:val="00823E77"/>
    <w:rsid w:val="00824712"/>
    <w:rsid w:val="008265C1"/>
    <w:rsid w:val="00827A28"/>
    <w:rsid w:val="00827D3E"/>
    <w:rsid w:val="00830FC4"/>
    <w:rsid w:val="008323B5"/>
    <w:rsid w:val="00833ABA"/>
    <w:rsid w:val="00833E38"/>
    <w:rsid w:val="008347A3"/>
    <w:rsid w:val="0083545D"/>
    <w:rsid w:val="0083559E"/>
    <w:rsid w:val="00836830"/>
    <w:rsid w:val="00836A78"/>
    <w:rsid w:val="00837157"/>
    <w:rsid w:val="00837DD0"/>
    <w:rsid w:val="00842DC6"/>
    <w:rsid w:val="0084588E"/>
    <w:rsid w:val="00847B4C"/>
    <w:rsid w:val="00851EC0"/>
    <w:rsid w:val="00853FAC"/>
    <w:rsid w:val="00855390"/>
    <w:rsid w:val="008562F2"/>
    <w:rsid w:val="00856AC4"/>
    <w:rsid w:val="008576BF"/>
    <w:rsid w:val="00857973"/>
    <w:rsid w:val="00857D72"/>
    <w:rsid w:val="00860527"/>
    <w:rsid w:val="0086064B"/>
    <w:rsid w:val="008616FD"/>
    <w:rsid w:val="00861C7C"/>
    <w:rsid w:val="00862D1D"/>
    <w:rsid w:val="00865A71"/>
    <w:rsid w:val="00866A17"/>
    <w:rsid w:val="00866AB7"/>
    <w:rsid w:val="00867718"/>
    <w:rsid w:val="0086787E"/>
    <w:rsid w:val="00867C72"/>
    <w:rsid w:val="00871F14"/>
    <w:rsid w:val="008723C5"/>
    <w:rsid w:val="00872609"/>
    <w:rsid w:val="00873E1E"/>
    <w:rsid w:val="00873E79"/>
    <w:rsid w:val="008743CA"/>
    <w:rsid w:val="00874A8F"/>
    <w:rsid w:val="00874CD8"/>
    <w:rsid w:val="00875E53"/>
    <w:rsid w:val="0087661D"/>
    <w:rsid w:val="00877C83"/>
    <w:rsid w:val="00880B80"/>
    <w:rsid w:val="00880D67"/>
    <w:rsid w:val="0088283F"/>
    <w:rsid w:val="00883932"/>
    <w:rsid w:val="0088405A"/>
    <w:rsid w:val="00884825"/>
    <w:rsid w:val="00884C68"/>
    <w:rsid w:val="00885503"/>
    <w:rsid w:val="00885C56"/>
    <w:rsid w:val="00890793"/>
    <w:rsid w:val="0089232C"/>
    <w:rsid w:val="00892407"/>
    <w:rsid w:val="008935E2"/>
    <w:rsid w:val="008948ED"/>
    <w:rsid w:val="00894904"/>
    <w:rsid w:val="0089492A"/>
    <w:rsid w:val="00897295"/>
    <w:rsid w:val="00897E76"/>
    <w:rsid w:val="008A0E16"/>
    <w:rsid w:val="008A2F80"/>
    <w:rsid w:val="008A2FB1"/>
    <w:rsid w:val="008A4160"/>
    <w:rsid w:val="008A46DB"/>
    <w:rsid w:val="008A5C15"/>
    <w:rsid w:val="008A6F08"/>
    <w:rsid w:val="008B1F86"/>
    <w:rsid w:val="008B27C2"/>
    <w:rsid w:val="008B2D50"/>
    <w:rsid w:val="008B3B33"/>
    <w:rsid w:val="008B4AF1"/>
    <w:rsid w:val="008B4E4A"/>
    <w:rsid w:val="008B537D"/>
    <w:rsid w:val="008B5C53"/>
    <w:rsid w:val="008B70FE"/>
    <w:rsid w:val="008C0FB4"/>
    <w:rsid w:val="008C1F35"/>
    <w:rsid w:val="008C2177"/>
    <w:rsid w:val="008C6BF3"/>
    <w:rsid w:val="008C72D5"/>
    <w:rsid w:val="008C78EA"/>
    <w:rsid w:val="008D0A74"/>
    <w:rsid w:val="008D2BEC"/>
    <w:rsid w:val="008D3E7F"/>
    <w:rsid w:val="008D54A3"/>
    <w:rsid w:val="008D54B7"/>
    <w:rsid w:val="008D5E68"/>
    <w:rsid w:val="008D5F91"/>
    <w:rsid w:val="008D6C00"/>
    <w:rsid w:val="008D73E7"/>
    <w:rsid w:val="008D7C62"/>
    <w:rsid w:val="008E5926"/>
    <w:rsid w:val="008E646B"/>
    <w:rsid w:val="008E649A"/>
    <w:rsid w:val="008E6901"/>
    <w:rsid w:val="008E6BA7"/>
    <w:rsid w:val="008E7B4F"/>
    <w:rsid w:val="008F036B"/>
    <w:rsid w:val="008F038F"/>
    <w:rsid w:val="008F0664"/>
    <w:rsid w:val="008F073C"/>
    <w:rsid w:val="008F1666"/>
    <w:rsid w:val="008F311B"/>
    <w:rsid w:val="008F348B"/>
    <w:rsid w:val="008F4E35"/>
    <w:rsid w:val="008F543D"/>
    <w:rsid w:val="008F598C"/>
    <w:rsid w:val="008F7841"/>
    <w:rsid w:val="0090078C"/>
    <w:rsid w:val="00902812"/>
    <w:rsid w:val="0090365F"/>
    <w:rsid w:val="00903C56"/>
    <w:rsid w:val="0090484A"/>
    <w:rsid w:val="0090505C"/>
    <w:rsid w:val="00905395"/>
    <w:rsid w:val="009073B7"/>
    <w:rsid w:val="009073D9"/>
    <w:rsid w:val="00911CEF"/>
    <w:rsid w:val="00913B41"/>
    <w:rsid w:val="009152AB"/>
    <w:rsid w:val="0091548A"/>
    <w:rsid w:val="00915AFF"/>
    <w:rsid w:val="00915BC2"/>
    <w:rsid w:val="00916530"/>
    <w:rsid w:val="0091729C"/>
    <w:rsid w:val="009177AD"/>
    <w:rsid w:val="00917B67"/>
    <w:rsid w:val="009205E3"/>
    <w:rsid w:val="00921EFD"/>
    <w:rsid w:val="00922087"/>
    <w:rsid w:val="0092219B"/>
    <w:rsid w:val="009228DB"/>
    <w:rsid w:val="00922D36"/>
    <w:rsid w:val="009230C0"/>
    <w:rsid w:val="0092313A"/>
    <w:rsid w:val="0092477A"/>
    <w:rsid w:val="00926087"/>
    <w:rsid w:val="00926725"/>
    <w:rsid w:val="00930231"/>
    <w:rsid w:val="009306C5"/>
    <w:rsid w:val="00931C8D"/>
    <w:rsid w:val="00933E3C"/>
    <w:rsid w:val="00933F98"/>
    <w:rsid w:val="0093442E"/>
    <w:rsid w:val="00937BAD"/>
    <w:rsid w:val="0094303B"/>
    <w:rsid w:val="00943DBB"/>
    <w:rsid w:val="009443D9"/>
    <w:rsid w:val="009445BB"/>
    <w:rsid w:val="00944617"/>
    <w:rsid w:val="00945401"/>
    <w:rsid w:val="00945ED3"/>
    <w:rsid w:val="00946BEE"/>
    <w:rsid w:val="00946FB6"/>
    <w:rsid w:val="00947D78"/>
    <w:rsid w:val="00950282"/>
    <w:rsid w:val="009502C8"/>
    <w:rsid w:val="00951EE8"/>
    <w:rsid w:val="00952A71"/>
    <w:rsid w:val="009541D8"/>
    <w:rsid w:val="00955322"/>
    <w:rsid w:val="00956D38"/>
    <w:rsid w:val="00961577"/>
    <w:rsid w:val="00961579"/>
    <w:rsid w:val="00962B25"/>
    <w:rsid w:val="00962F36"/>
    <w:rsid w:val="00963168"/>
    <w:rsid w:val="009641BA"/>
    <w:rsid w:val="00965216"/>
    <w:rsid w:val="00965C6D"/>
    <w:rsid w:val="00966308"/>
    <w:rsid w:val="0096671C"/>
    <w:rsid w:val="00966D23"/>
    <w:rsid w:val="00970EF7"/>
    <w:rsid w:val="00970F4A"/>
    <w:rsid w:val="00971E5F"/>
    <w:rsid w:val="0097555C"/>
    <w:rsid w:val="009757D1"/>
    <w:rsid w:val="00977DCF"/>
    <w:rsid w:val="00981584"/>
    <w:rsid w:val="00982D2D"/>
    <w:rsid w:val="009841A2"/>
    <w:rsid w:val="00985A84"/>
    <w:rsid w:val="0098773E"/>
    <w:rsid w:val="00992B61"/>
    <w:rsid w:val="00992D36"/>
    <w:rsid w:val="00994B83"/>
    <w:rsid w:val="00994CB3"/>
    <w:rsid w:val="00994E9E"/>
    <w:rsid w:val="00995CB7"/>
    <w:rsid w:val="00996649"/>
    <w:rsid w:val="009A06AF"/>
    <w:rsid w:val="009A1C82"/>
    <w:rsid w:val="009A1E7B"/>
    <w:rsid w:val="009A3E25"/>
    <w:rsid w:val="009A4BBB"/>
    <w:rsid w:val="009A673F"/>
    <w:rsid w:val="009A7009"/>
    <w:rsid w:val="009A77A9"/>
    <w:rsid w:val="009B01F4"/>
    <w:rsid w:val="009B0DE2"/>
    <w:rsid w:val="009B2C17"/>
    <w:rsid w:val="009B36AF"/>
    <w:rsid w:val="009B390D"/>
    <w:rsid w:val="009B48F0"/>
    <w:rsid w:val="009B6D18"/>
    <w:rsid w:val="009C077D"/>
    <w:rsid w:val="009C43EF"/>
    <w:rsid w:val="009C4C25"/>
    <w:rsid w:val="009C5035"/>
    <w:rsid w:val="009C77A6"/>
    <w:rsid w:val="009D0CBB"/>
    <w:rsid w:val="009D0FCF"/>
    <w:rsid w:val="009D1736"/>
    <w:rsid w:val="009D1F4B"/>
    <w:rsid w:val="009D30F6"/>
    <w:rsid w:val="009D40A8"/>
    <w:rsid w:val="009D5C3B"/>
    <w:rsid w:val="009D68F2"/>
    <w:rsid w:val="009D71FA"/>
    <w:rsid w:val="009D7379"/>
    <w:rsid w:val="009D7C12"/>
    <w:rsid w:val="009D7CAE"/>
    <w:rsid w:val="009E02B0"/>
    <w:rsid w:val="009E2004"/>
    <w:rsid w:val="009E2936"/>
    <w:rsid w:val="009E48B9"/>
    <w:rsid w:val="009E5E2F"/>
    <w:rsid w:val="009F243F"/>
    <w:rsid w:val="009F3681"/>
    <w:rsid w:val="009F4540"/>
    <w:rsid w:val="009F4C26"/>
    <w:rsid w:val="009F5588"/>
    <w:rsid w:val="009F5A0E"/>
    <w:rsid w:val="009F6CFB"/>
    <w:rsid w:val="009F6D28"/>
    <w:rsid w:val="00A00511"/>
    <w:rsid w:val="00A01730"/>
    <w:rsid w:val="00A025E1"/>
    <w:rsid w:val="00A03061"/>
    <w:rsid w:val="00A030D1"/>
    <w:rsid w:val="00A04250"/>
    <w:rsid w:val="00A04C1F"/>
    <w:rsid w:val="00A04D1D"/>
    <w:rsid w:val="00A0565D"/>
    <w:rsid w:val="00A0740A"/>
    <w:rsid w:val="00A07A0D"/>
    <w:rsid w:val="00A12AE2"/>
    <w:rsid w:val="00A1306B"/>
    <w:rsid w:val="00A1333D"/>
    <w:rsid w:val="00A13CC2"/>
    <w:rsid w:val="00A143A2"/>
    <w:rsid w:val="00A14B5B"/>
    <w:rsid w:val="00A1601C"/>
    <w:rsid w:val="00A16B1A"/>
    <w:rsid w:val="00A1751D"/>
    <w:rsid w:val="00A21158"/>
    <w:rsid w:val="00A21A7D"/>
    <w:rsid w:val="00A24920"/>
    <w:rsid w:val="00A24CD1"/>
    <w:rsid w:val="00A25B1D"/>
    <w:rsid w:val="00A264DB"/>
    <w:rsid w:val="00A269DC"/>
    <w:rsid w:val="00A27B4E"/>
    <w:rsid w:val="00A30341"/>
    <w:rsid w:val="00A34624"/>
    <w:rsid w:val="00A3547D"/>
    <w:rsid w:val="00A37739"/>
    <w:rsid w:val="00A4147A"/>
    <w:rsid w:val="00A42819"/>
    <w:rsid w:val="00A44E7F"/>
    <w:rsid w:val="00A460D0"/>
    <w:rsid w:val="00A464E2"/>
    <w:rsid w:val="00A46919"/>
    <w:rsid w:val="00A46EC1"/>
    <w:rsid w:val="00A475E1"/>
    <w:rsid w:val="00A510C5"/>
    <w:rsid w:val="00A51D8E"/>
    <w:rsid w:val="00A5243C"/>
    <w:rsid w:val="00A52DB8"/>
    <w:rsid w:val="00A534D6"/>
    <w:rsid w:val="00A55F80"/>
    <w:rsid w:val="00A56BA4"/>
    <w:rsid w:val="00A570CE"/>
    <w:rsid w:val="00A57DD3"/>
    <w:rsid w:val="00A61784"/>
    <w:rsid w:val="00A6275E"/>
    <w:rsid w:val="00A64472"/>
    <w:rsid w:val="00A65342"/>
    <w:rsid w:val="00A65BBB"/>
    <w:rsid w:val="00A71F00"/>
    <w:rsid w:val="00A72223"/>
    <w:rsid w:val="00A73BAE"/>
    <w:rsid w:val="00A73BDA"/>
    <w:rsid w:val="00A73C4C"/>
    <w:rsid w:val="00A74024"/>
    <w:rsid w:val="00A7422D"/>
    <w:rsid w:val="00A74784"/>
    <w:rsid w:val="00A74899"/>
    <w:rsid w:val="00A76232"/>
    <w:rsid w:val="00A763F7"/>
    <w:rsid w:val="00A767F7"/>
    <w:rsid w:val="00A76F8D"/>
    <w:rsid w:val="00A7713C"/>
    <w:rsid w:val="00A772A5"/>
    <w:rsid w:val="00A77D07"/>
    <w:rsid w:val="00A8063F"/>
    <w:rsid w:val="00A80752"/>
    <w:rsid w:val="00A80EE3"/>
    <w:rsid w:val="00A81D7E"/>
    <w:rsid w:val="00A83DCD"/>
    <w:rsid w:val="00A84C36"/>
    <w:rsid w:val="00A8578F"/>
    <w:rsid w:val="00A86D9F"/>
    <w:rsid w:val="00A90097"/>
    <w:rsid w:val="00A919DB"/>
    <w:rsid w:val="00A9202F"/>
    <w:rsid w:val="00A95F76"/>
    <w:rsid w:val="00A96029"/>
    <w:rsid w:val="00A96AD6"/>
    <w:rsid w:val="00A96C30"/>
    <w:rsid w:val="00A97BAF"/>
    <w:rsid w:val="00AA051B"/>
    <w:rsid w:val="00AA0C00"/>
    <w:rsid w:val="00AA1309"/>
    <w:rsid w:val="00AA1FC6"/>
    <w:rsid w:val="00AA288E"/>
    <w:rsid w:val="00AA35FE"/>
    <w:rsid w:val="00AA41EF"/>
    <w:rsid w:val="00AA4C48"/>
    <w:rsid w:val="00AA4FD6"/>
    <w:rsid w:val="00AA5015"/>
    <w:rsid w:val="00AA50F5"/>
    <w:rsid w:val="00AA65F7"/>
    <w:rsid w:val="00AB0320"/>
    <w:rsid w:val="00AB2F04"/>
    <w:rsid w:val="00AB439F"/>
    <w:rsid w:val="00AB4984"/>
    <w:rsid w:val="00AB6228"/>
    <w:rsid w:val="00AB667A"/>
    <w:rsid w:val="00AB7C52"/>
    <w:rsid w:val="00AC05AB"/>
    <w:rsid w:val="00AC0B26"/>
    <w:rsid w:val="00AC1B8B"/>
    <w:rsid w:val="00AC2915"/>
    <w:rsid w:val="00AC4B9B"/>
    <w:rsid w:val="00AC51A9"/>
    <w:rsid w:val="00AC6413"/>
    <w:rsid w:val="00AC6621"/>
    <w:rsid w:val="00AC6904"/>
    <w:rsid w:val="00AC7684"/>
    <w:rsid w:val="00AC7F16"/>
    <w:rsid w:val="00AD063D"/>
    <w:rsid w:val="00AD166A"/>
    <w:rsid w:val="00AD1702"/>
    <w:rsid w:val="00AD3436"/>
    <w:rsid w:val="00AD347D"/>
    <w:rsid w:val="00AD4085"/>
    <w:rsid w:val="00AD69C7"/>
    <w:rsid w:val="00AE15B2"/>
    <w:rsid w:val="00AE1DF8"/>
    <w:rsid w:val="00AE304C"/>
    <w:rsid w:val="00AE3A07"/>
    <w:rsid w:val="00AE3A22"/>
    <w:rsid w:val="00AE5023"/>
    <w:rsid w:val="00AE645B"/>
    <w:rsid w:val="00AE6B90"/>
    <w:rsid w:val="00AF1A5C"/>
    <w:rsid w:val="00AF6B5D"/>
    <w:rsid w:val="00B00ABE"/>
    <w:rsid w:val="00B00B60"/>
    <w:rsid w:val="00B0313C"/>
    <w:rsid w:val="00B0315C"/>
    <w:rsid w:val="00B03D18"/>
    <w:rsid w:val="00B041A4"/>
    <w:rsid w:val="00B04BE2"/>
    <w:rsid w:val="00B05B8A"/>
    <w:rsid w:val="00B05D69"/>
    <w:rsid w:val="00B05E55"/>
    <w:rsid w:val="00B075D9"/>
    <w:rsid w:val="00B07819"/>
    <w:rsid w:val="00B12F8D"/>
    <w:rsid w:val="00B14A24"/>
    <w:rsid w:val="00B157ED"/>
    <w:rsid w:val="00B170EB"/>
    <w:rsid w:val="00B21276"/>
    <w:rsid w:val="00B2170F"/>
    <w:rsid w:val="00B221FE"/>
    <w:rsid w:val="00B2243F"/>
    <w:rsid w:val="00B22DD2"/>
    <w:rsid w:val="00B2399F"/>
    <w:rsid w:val="00B25DAB"/>
    <w:rsid w:val="00B26A66"/>
    <w:rsid w:val="00B26C0C"/>
    <w:rsid w:val="00B27A62"/>
    <w:rsid w:val="00B316A1"/>
    <w:rsid w:val="00B316EC"/>
    <w:rsid w:val="00B31AC0"/>
    <w:rsid w:val="00B322D4"/>
    <w:rsid w:val="00B33001"/>
    <w:rsid w:val="00B3383B"/>
    <w:rsid w:val="00B34711"/>
    <w:rsid w:val="00B36A61"/>
    <w:rsid w:val="00B4355A"/>
    <w:rsid w:val="00B4396C"/>
    <w:rsid w:val="00B44DAC"/>
    <w:rsid w:val="00B45646"/>
    <w:rsid w:val="00B4612B"/>
    <w:rsid w:val="00B46264"/>
    <w:rsid w:val="00B46326"/>
    <w:rsid w:val="00B4695E"/>
    <w:rsid w:val="00B472D5"/>
    <w:rsid w:val="00B473D7"/>
    <w:rsid w:val="00B47C29"/>
    <w:rsid w:val="00B47E94"/>
    <w:rsid w:val="00B50BDE"/>
    <w:rsid w:val="00B52A84"/>
    <w:rsid w:val="00B54C58"/>
    <w:rsid w:val="00B56644"/>
    <w:rsid w:val="00B569AD"/>
    <w:rsid w:val="00B64D92"/>
    <w:rsid w:val="00B64EBB"/>
    <w:rsid w:val="00B654E9"/>
    <w:rsid w:val="00B6561F"/>
    <w:rsid w:val="00B66EFC"/>
    <w:rsid w:val="00B701E3"/>
    <w:rsid w:val="00B723AB"/>
    <w:rsid w:val="00B73068"/>
    <w:rsid w:val="00B7324F"/>
    <w:rsid w:val="00B73A1F"/>
    <w:rsid w:val="00B74943"/>
    <w:rsid w:val="00B75322"/>
    <w:rsid w:val="00B75B73"/>
    <w:rsid w:val="00B7714A"/>
    <w:rsid w:val="00B77220"/>
    <w:rsid w:val="00B774BA"/>
    <w:rsid w:val="00B80122"/>
    <w:rsid w:val="00B8070D"/>
    <w:rsid w:val="00B83773"/>
    <w:rsid w:val="00B86729"/>
    <w:rsid w:val="00B86B7A"/>
    <w:rsid w:val="00B8768F"/>
    <w:rsid w:val="00B91EAF"/>
    <w:rsid w:val="00B93387"/>
    <w:rsid w:val="00B934B8"/>
    <w:rsid w:val="00B9499D"/>
    <w:rsid w:val="00B95251"/>
    <w:rsid w:val="00B95972"/>
    <w:rsid w:val="00B959E8"/>
    <w:rsid w:val="00BA1929"/>
    <w:rsid w:val="00BA1B4B"/>
    <w:rsid w:val="00BA2440"/>
    <w:rsid w:val="00BA2A97"/>
    <w:rsid w:val="00BA2CC6"/>
    <w:rsid w:val="00BA42F9"/>
    <w:rsid w:val="00BA6E04"/>
    <w:rsid w:val="00BA6E7D"/>
    <w:rsid w:val="00BB1A94"/>
    <w:rsid w:val="00BB1DC9"/>
    <w:rsid w:val="00BB1E8C"/>
    <w:rsid w:val="00BB33E8"/>
    <w:rsid w:val="00BB3AD2"/>
    <w:rsid w:val="00BB59D8"/>
    <w:rsid w:val="00BB66DE"/>
    <w:rsid w:val="00BB6F5E"/>
    <w:rsid w:val="00BC07D9"/>
    <w:rsid w:val="00BC087F"/>
    <w:rsid w:val="00BC10FB"/>
    <w:rsid w:val="00BC27A1"/>
    <w:rsid w:val="00BC28BF"/>
    <w:rsid w:val="00BC3968"/>
    <w:rsid w:val="00BC406E"/>
    <w:rsid w:val="00BC4820"/>
    <w:rsid w:val="00BC588B"/>
    <w:rsid w:val="00BC6CE6"/>
    <w:rsid w:val="00BC7E24"/>
    <w:rsid w:val="00BD1FE8"/>
    <w:rsid w:val="00BD224D"/>
    <w:rsid w:val="00BD2BF2"/>
    <w:rsid w:val="00BD3CA7"/>
    <w:rsid w:val="00BD47F5"/>
    <w:rsid w:val="00BD4FA6"/>
    <w:rsid w:val="00BD5246"/>
    <w:rsid w:val="00BD671D"/>
    <w:rsid w:val="00BD74CB"/>
    <w:rsid w:val="00BD7C88"/>
    <w:rsid w:val="00BE0470"/>
    <w:rsid w:val="00BE1CE1"/>
    <w:rsid w:val="00BE1E8E"/>
    <w:rsid w:val="00BE5089"/>
    <w:rsid w:val="00BE61C8"/>
    <w:rsid w:val="00BE6486"/>
    <w:rsid w:val="00BE6A97"/>
    <w:rsid w:val="00BE797D"/>
    <w:rsid w:val="00BF0750"/>
    <w:rsid w:val="00BF1037"/>
    <w:rsid w:val="00BF137C"/>
    <w:rsid w:val="00BF1A5F"/>
    <w:rsid w:val="00BF237B"/>
    <w:rsid w:val="00BF24EA"/>
    <w:rsid w:val="00BF2EAE"/>
    <w:rsid w:val="00BF3E67"/>
    <w:rsid w:val="00BF420D"/>
    <w:rsid w:val="00BF5020"/>
    <w:rsid w:val="00BF5511"/>
    <w:rsid w:val="00BF57FF"/>
    <w:rsid w:val="00BF5AAE"/>
    <w:rsid w:val="00BF7EDF"/>
    <w:rsid w:val="00C008EA"/>
    <w:rsid w:val="00C00F5F"/>
    <w:rsid w:val="00C02FA7"/>
    <w:rsid w:val="00C03597"/>
    <w:rsid w:val="00C04916"/>
    <w:rsid w:val="00C05690"/>
    <w:rsid w:val="00C05A94"/>
    <w:rsid w:val="00C06353"/>
    <w:rsid w:val="00C10EB8"/>
    <w:rsid w:val="00C11415"/>
    <w:rsid w:val="00C11466"/>
    <w:rsid w:val="00C11B2D"/>
    <w:rsid w:val="00C1338A"/>
    <w:rsid w:val="00C1448E"/>
    <w:rsid w:val="00C14543"/>
    <w:rsid w:val="00C1496D"/>
    <w:rsid w:val="00C158B5"/>
    <w:rsid w:val="00C16795"/>
    <w:rsid w:val="00C17277"/>
    <w:rsid w:val="00C20281"/>
    <w:rsid w:val="00C20601"/>
    <w:rsid w:val="00C21EC1"/>
    <w:rsid w:val="00C247BA"/>
    <w:rsid w:val="00C2590B"/>
    <w:rsid w:val="00C260AC"/>
    <w:rsid w:val="00C27806"/>
    <w:rsid w:val="00C27AA1"/>
    <w:rsid w:val="00C27ACD"/>
    <w:rsid w:val="00C30525"/>
    <w:rsid w:val="00C30C7E"/>
    <w:rsid w:val="00C31BC6"/>
    <w:rsid w:val="00C32A4A"/>
    <w:rsid w:val="00C35882"/>
    <w:rsid w:val="00C35AEF"/>
    <w:rsid w:val="00C36F03"/>
    <w:rsid w:val="00C370B7"/>
    <w:rsid w:val="00C37135"/>
    <w:rsid w:val="00C371AA"/>
    <w:rsid w:val="00C37313"/>
    <w:rsid w:val="00C404DB"/>
    <w:rsid w:val="00C40EF8"/>
    <w:rsid w:val="00C41E12"/>
    <w:rsid w:val="00C42EDD"/>
    <w:rsid w:val="00C44654"/>
    <w:rsid w:val="00C44693"/>
    <w:rsid w:val="00C453DB"/>
    <w:rsid w:val="00C45605"/>
    <w:rsid w:val="00C45E7F"/>
    <w:rsid w:val="00C46A1E"/>
    <w:rsid w:val="00C473B0"/>
    <w:rsid w:val="00C51025"/>
    <w:rsid w:val="00C51670"/>
    <w:rsid w:val="00C539A5"/>
    <w:rsid w:val="00C548A0"/>
    <w:rsid w:val="00C55408"/>
    <w:rsid w:val="00C5663D"/>
    <w:rsid w:val="00C57299"/>
    <w:rsid w:val="00C576B5"/>
    <w:rsid w:val="00C60B73"/>
    <w:rsid w:val="00C6137F"/>
    <w:rsid w:val="00C61881"/>
    <w:rsid w:val="00C6255F"/>
    <w:rsid w:val="00C62705"/>
    <w:rsid w:val="00C66CFD"/>
    <w:rsid w:val="00C67352"/>
    <w:rsid w:val="00C677D0"/>
    <w:rsid w:val="00C67D85"/>
    <w:rsid w:val="00C71216"/>
    <w:rsid w:val="00C714A8"/>
    <w:rsid w:val="00C7211E"/>
    <w:rsid w:val="00C7297D"/>
    <w:rsid w:val="00C72C94"/>
    <w:rsid w:val="00C72CEF"/>
    <w:rsid w:val="00C730B7"/>
    <w:rsid w:val="00C73A31"/>
    <w:rsid w:val="00C74082"/>
    <w:rsid w:val="00C74E4F"/>
    <w:rsid w:val="00C75412"/>
    <w:rsid w:val="00C757E0"/>
    <w:rsid w:val="00C76285"/>
    <w:rsid w:val="00C764C4"/>
    <w:rsid w:val="00C807EA"/>
    <w:rsid w:val="00C80BFC"/>
    <w:rsid w:val="00C819E5"/>
    <w:rsid w:val="00C81A83"/>
    <w:rsid w:val="00C83987"/>
    <w:rsid w:val="00C83B09"/>
    <w:rsid w:val="00C8651F"/>
    <w:rsid w:val="00C86D02"/>
    <w:rsid w:val="00C90E4F"/>
    <w:rsid w:val="00C913E3"/>
    <w:rsid w:val="00C915C8"/>
    <w:rsid w:val="00C91659"/>
    <w:rsid w:val="00C91C30"/>
    <w:rsid w:val="00C91DEA"/>
    <w:rsid w:val="00C930C0"/>
    <w:rsid w:val="00C94A48"/>
    <w:rsid w:val="00C95066"/>
    <w:rsid w:val="00C96A9F"/>
    <w:rsid w:val="00CA02ED"/>
    <w:rsid w:val="00CA1DB1"/>
    <w:rsid w:val="00CA2038"/>
    <w:rsid w:val="00CA379F"/>
    <w:rsid w:val="00CA3DFA"/>
    <w:rsid w:val="00CA5B44"/>
    <w:rsid w:val="00CA671F"/>
    <w:rsid w:val="00CA6E2C"/>
    <w:rsid w:val="00CA7152"/>
    <w:rsid w:val="00CA75DF"/>
    <w:rsid w:val="00CA7DFD"/>
    <w:rsid w:val="00CB40BA"/>
    <w:rsid w:val="00CB4CF5"/>
    <w:rsid w:val="00CB532A"/>
    <w:rsid w:val="00CB5618"/>
    <w:rsid w:val="00CB6287"/>
    <w:rsid w:val="00CB7566"/>
    <w:rsid w:val="00CC00BD"/>
    <w:rsid w:val="00CC0DEF"/>
    <w:rsid w:val="00CC275B"/>
    <w:rsid w:val="00CC38BC"/>
    <w:rsid w:val="00CC440D"/>
    <w:rsid w:val="00CC5073"/>
    <w:rsid w:val="00CC6938"/>
    <w:rsid w:val="00CC790B"/>
    <w:rsid w:val="00CD0695"/>
    <w:rsid w:val="00CD12DF"/>
    <w:rsid w:val="00CD18FD"/>
    <w:rsid w:val="00CD1D2B"/>
    <w:rsid w:val="00CD37DE"/>
    <w:rsid w:val="00CD4020"/>
    <w:rsid w:val="00CD4354"/>
    <w:rsid w:val="00CD51C6"/>
    <w:rsid w:val="00CD617A"/>
    <w:rsid w:val="00CE0647"/>
    <w:rsid w:val="00CE1E54"/>
    <w:rsid w:val="00CE1E81"/>
    <w:rsid w:val="00CE3424"/>
    <w:rsid w:val="00CE3567"/>
    <w:rsid w:val="00CE3C1D"/>
    <w:rsid w:val="00CE4137"/>
    <w:rsid w:val="00CE5585"/>
    <w:rsid w:val="00CE6796"/>
    <w:rsid w:val="00CE6850"/>
    <w:rsid w:val="00CE7010"/>
    <w:rsid w:val="00CE71E0"/>
    <w:rsid w:val="00CF031E"/>
    <w:rsid w:val="00CF0345"/>
    <w:rsid w:val="00CF0CF6"/>
    <w:rsid w:val="00CF2122"/>
    <w:rsid w:val="00CF338C"/>
    <w:rsid w:val="00CF52BE"/>
    <w:rsid w:val="00CF6410"/>
    <w:rsid w:val="00CF65B3"/>
    <w:rsid w:val="00CF69E5"/>
    <w:rsid w:val="00CF6AF0"/>
    <w:rsid w:val="00CF7E3B"/>
    <w:rsid w:val="00CF7EF4"/>
    <w:rsid w:val="00D0013F"/>
    <w:rsid w:val="00D01E64"/>
    <w:rsid w:val="00D01F63"/>
    <w:rsid w:val="00D0329A"/>
    <w:rsid w:val="00D041B7"/>
    <w:rsid w:val="00D04421"/>
    <w:rsid w:val="00D04BEE"/>
    <w:rsid w:val="00D05046"/>
    <w:rsid w:val="00D0598A"/>
    <w:rsid w:val="00D059CF"/>
    <w:rsid w:val="00D06231"/>
    <w:rsid w:val="00D06A7D"/>
    <w:rsid w:val="00D07CAF"/>
    <w:rsid w:val="00D10C32"/>
    <w:rsid w:val="00D117A4"/>
    <w:rsid w:val="00D1270A"/>
    <w:rsid w:val="00D12D8F"/>
    <w:rsid w:val="00D12E33"/>
    <w:rsid w:val="00D14F8A"/>
    <w:rsid w:val="00D1546A"/>
    <w:rsid w:val="00D16493"/>
    <w:rsid w:val="00D166E2"/>
    <w:rsid w:val="00D2043E"/>
    <w:rsid w:val="00D22078"/>
    <w:rsid w:val="00D2226B"/>
    <w:rsid w:val="00D226C7"/>
    <w:rsid w:val="00D22B38"/>
    <w:rsid w:val="00D23040"/>
    <w:rsid w:val="00D2359E"/>
    <w:rsid w:val="00D23FEF"/>
    <w:rsid w:val="00D24096"/>
    <w:rsid w:val="00D2497D"/>
    <w:rsid w:val="00D2739C"/>
    <w:rsid w:val="00D27699"/>
    <w:rsid w:val="00D30A93"/>
    <w:rsid w:val="00D30B10"/>
    <w:rsid w:val="00D3243F"/>
    <w:rsid w:val="00D340F2"/>
    <w:rsid w:val="00D348D4"/>
    <w:rsid w:val="00D348E5"/>
    <w:rsid w:val="00D35AC8"/>
    <w:rsid w:val="00D35E1B"/>
    <w:rsid w:val="00D37BE0"/>
    <w:rsid w:val="00D40745"/>
    <w:rsid w:val="00D408CB"/>
    <w:rsid w:val="00D435FE"/>
    <w:rsid w:val="00D4442A"/>
    <w:rsid w:val="00D448CC"/>
    <w:rsid w:val="00D44E87"/>
    <w:rsid w:val="00D45CCA"/>
    <w:rsid w:val="00D476E6"/>
    <w:rsid w:val="00D5089F"/>
    <w:rsid w:val="00D51291"/>
    <w:rsid w:val="00D51528"/>
    <w:rsid w:val="00D526CB"/>
    <w:rsid w:val="00D54669"/>
    <w:rsid w:val="00D550FE"/>
    <w:rsid w:val="00D55F90"/>
    <w:rsid w:val="00D5608A"/>
    <w:rsid w:val="00D568F5"/>
    <w:rsid w:val="00D5730B"/>
    <w:rsid w:val="00D573DF"/>
    <w:rsid w:val="00D60E3F"/>
    <w:rsid w:val="00D61B46"/>
    <w:rsid w:val="00D62464"/>
    <w:rsid w:val="00D62B9D"/>
    <w:rsid w:val="00D63EC9"/>
    <w:rsid w:val="00D6545E"/>
    <w:rsid w:val="00D665C6"/>
    <w:rsid w:val="00D71A55"/>
    <w:rsid w:val="00D71AEA"/>
    <w:rsid w:val="00D71D6A"/>
    <w:rsid w:val="00D71F2B"/>
    <w:rsid w:val="00D729C5"/>
    <w:rsid w:val="00D730FF"/>
    <w:rsid w:val="00D765C7"/>
    <w:rsid w:val="00D76BD7"/>
    <w:rsid w:val="00D76EBE"/>
    <w:rsid w:val="00D7722B"/>
    <w:rsid w:val="00D77AE6"/>
    <w:rsid w:val="00D802FF"/>
    <w:rsid w:val="00D80AD7"/>
    <w:rsid w:val="00D80D69"/>
    <w:rsid w:val="00D8107F"/>
    <w:rsid w:val="00D8121E"/>
    <w:rsid w:val="00D85572"/>
    <w:rsid w:val="00D87604"/>
    <w:rsid w:val="00D90566"/>
    <w:rsid w:val="00D91B9D"/>
    <w:rsid w:val="00D93790"/>
    <w:rsid w:val="00D93D2F"/>
    <w:rsid w:val="00D94165"/>
    <w:rsid w:val="00D9420C"/>
    <w:rsid w:val="00D951D7"/>
    <w:rsid w:val="00D956D2"/>
    <w:rsid w:val="00D965E4"/>
    <w:rsid w:val="00D968F4"/>
    <w:rsid w:val="00D97C19"/>
    <w:rsid w:val="00DA078B"/>
    <w:rsid w:val="00DA12FE"/>
    <w:rsid w:val="00DA1A80"/>
    <w:rsid w:val="00DA23F3"/>
    <w:rsid w:val="00DA32E6"/>
    <w:rsid w:val="00DA5551"/>
    <w:rsid w:val="00DA5667"/>
    <w:rsid w:val="00DA56BE"/>
    <w:rsid w:val="00DA618F"/>
    <w:rsid w:val="00DA6545"/>
    <w:rsid w:val="00DA6B9F"/>
    <w:rsid w:val="00DA716E"/>
    <w:rsid w:val="00DA7BCD"/>
    <w:rsid w:val="00DB1280"/>
    <w:rsid w:val="00DB250A"/>
    <w:rsid w:val="00DB35F6"/>
    <w:rsid w:val="00DB43C7"/>
    <w:rsid w:val="00DB49B5"/>
    <w:rsid w:val="00DB596D"/>
    <w:rsid w:val="00DB636E"/>
    <w:rsid w:val="00DB643C"/>
    <w:rsid w:val="00DC0248"/>
    <w:rsid w:val="00DC1866"/>
    <w:rsid w:val="00DC19CC"/>
    <w:rsid w:val="00DC2577"/>
    <w:rsid w:val="00DC3655"/>
    <w:rsid w:val="00DC40DC"/>
    <w:rsid w:val="00DC52F3"/>
    <w:rsid w:val="00DC62CC"/>
    <w:rsid w:val="00DC6D12"/>
    <w:rsid w:val="00DD0D23"/>
    <w:rsid w:val="00DD1486"/>
    <w:rsid w:val="00DD1874"/>
    <w:rsid w:val="00DD1CD1"/>
    <w:rsid w:val="00DD2CA5"/>
    <w:rsid w:val="00DD3F58"/>
    <w:rsid w:val="00DD4527"/>
    <w:rsid w:val="00DD7483"/>
    <w:rsid w:val="00DD778C"/>
    <w:rsid w:val="00DD7B59"/>
    <w:rsid w:val="00DD7E2E"/>
    <w:rsid w:val="00DE1451"/>
    <w:rsid w:val="00DE1F5B"/>
    <w:rsid w:val="00DE20A0"/>
    <w:rsid w:val="00DE499B"/>
    <w:rsid w:val="00DE5631"/>
    <w:rsid w:val="00DE635B"/>
    <w:rsid w:val="00DF1345"/>
    <w:rsid w:val="00DF2B16"/>
    <w:rsid w:val="00DF3773"/>
    <w:rsid w:val="00DF4E0A"/>
    <w:rsid w:val="00DF5A25"/>
    <w:rsid w:val="00DF65D7"/>
    <w:rsid w:val="00DF675B"/>
    <w:rsid w:val="00DF7D99"/>
    <w:rsid w:val="00E006C1"/>
    <w:rsid w:val="00E013F1"/>
    <w:rsid w:val="00E03A04"/>
    <w:rsid w:val="00E03ACA"/>
    <w:rsid w:val="00E03D57"/>
    <w:rsid w:val="00E04A60"/>
    <w:rsid w:val="00E0531E"/>
    <w:rsid w:val="00E05A52"/>
    <w:rsid w:val="00E06F42"/>
    <w:rsid w:val="00E1070C"/>
    <w:rsid w:val="00E112ED"/>
    <w:rsid w:val="00E1192E"/>
    <w:rsid w:val="00E12568"/>
    <w:rsid w:val="00E12975"/>
    <w:rsid w:val="00E13540"/>
    <w:rsid w:val="00E136A5"/>
    <w:rsid w:val="00E1379B"/>
    <w:rsid w:val="00E1512F"/>
    <w:rsid w:val="00E16662"/>
    <w:rsid w:val="00E21A9E"/>
    <w:rsid w:val="00E264A9"/>
    <w:rsid w:val="00E26700"/>
    <w:rsid w:val="00E26C8B"/>
    <w:rsid w:val="00E27378"/>
    <w:rsid w:val="00E310D2"/>
    <w:rsid w:val="00E3254B"/>
    <w:rsid w:val="00E328A1"/>
    <w:rsid w:val="00E33497"/>
    <w:rsid w:val="00E3414B"/>
    <w:rsid w:val="00E3452B"/>
    <w:rsid w:val="00E350FE"/>
    <w:rsid w:val="00E35752"/>
    <w:rsid w:val="00E35971"/>
    <w:rsid w:val="00E36EB0"/>
    <w:rsid w:val="00E36FDF"/>
    <w:rsid w:val="00E41912"/>
    <w:rsid w:val="00E4217C"/>
    <w:rsid w:val="00E44112"/>
    <w:rsid w:val="00E44158"/>
    <w:rsid w:val="00E455A5"/>
    <w:rsid w:val="00E45CBA"/>
    <w:rsid w:val="00E463B4"/>
    <w:rsid w:val="00E46D2F"/>
    <w:rsid w:val="00E471DA"/>
    <w:rsid w:val="00E47548"/>
    <w:rsid w:val="00E5043A"/>
    <w:rsid w:val="00E50A48"/>
    <w:rsid w:val="00E50F76"/>
    <w:rsid w:val="00E516D9"/>
    <w:rsid w:val="00E5180E"/>
    <w:rsid w:val="00E51F44"/>
    <w:rsid w:val="00E51FD7"/>
    <w:rsid w:val="00E520F5"/>
    <w:rsid w:val="00E52502"/>
    <w:rsid w:val="00E53A1E"/>
    <w:rsid w:val="00E5426E"/>
    <w:rsid w:val="00E5618E"/>
    <w:rsid w:val="00E575DF"/>
    <w:rsid w:val="00E57A19"/>
    <w:rsid w:val="00E57AE1"/>
    <w:rsid w:val="00E6348B"/>
    <w:rsid w:val="00E65079"/>
    <w:rsid w:val="00E650BA"/>
    <w:rsid w:val="00E6534E"/>
    <w:rsid w:val="00E666AA"/>
    <w:rsid w:val="00E66D97"/>
    <w:rsid w:val="00E70CD7"/>
    <w:rsid w:val="00E72084"/>
    <w:rsid w:val="00E734D1"/>
    <w:rsid w:val="00E7401B"/>
    <w:rsid w:val="00E74C8C"/>
    <w:rsid w:val="00E7546B"/>
    <w:rsid w:val="00E757B5"/>
    <w:rsid w:val="00E765D7"/>
    <w:rsid w:val="00E77469"/>
    <w:rsid w:val="00E77767"/>
    <w:rsid w:val="00E80230"/>
    <w:rsid w:val="00E8183B"/>
    <w:rsid w:val="00E81906"/>
    <w:rsid w:val="00E81C12"/>
    <w:rsid w:val="00E8253E"/>
    <w:rsid w:val="00E82713"/>
    <w:rsid w:val="00E83E40"/>
    <w:rsid w:val="00E85287"/>
    <w:rsid w:val="00E86D57"/>
    <w:rsid w:val="00E86DB1"/>
    <w:rsid w:val="00E87A1B"/>
    <w:rsid w:val="00E902A3"/>
    <w:rsid w:val="00E90348"/>
    <w:rsid w:val="00E90DA0"/>
    <w:rsid w:val="00E94B9F"/>
    <w:rsid w:val="00E9601D"/>
    <w:rsid w:val="00E97E80"/>
    <w:rsid w:val="00EA1030"/>
    <w:rsid w:val="00EA146E"/>
    <w:rsid w:val="00EA3694"/>
    <w:rsid w:val="00EA40F1"/>
    <w:rsid w:val="00EA65FE"/>
    <w:rsid w:val="00EA727B"/>
    <w:rsid w:val="00EA749F"/>
    <w:rsid w:val="00EA7A59"/>
    <w:rsid w:val="00EA7C3F"/>
    <w:rsid w:val="00EA7F9C"/>
    <w:rsid w:val="00EB0241"/>
    <w:rsid w:val="00EB0FE0"/>
    <w:rsid w:val="00EB2412"/>
    <w:rsid w:val="00EB25E9"/>
    <w:rsid w:val="00EB2B8C"/>
    <w:rsid w:val="00EB43C3"/>
    <w:rsid w:val="00EB62D5"/>
    <w:rsid w:val="00EB74C6"/>
    <w:rsid w:val="00EC0D12"/>
    <w:rsid w:val="00EC102B"/>
    <w:rsid w:val="00EC222D"/>
    <w:rsid w:val="00EC3EC3"/>
    <w:rsid w:val="00EC5C7C"/>
    <w:rsid w:val="00EC6A57"/>
    <w:rsid w:val="00EC6B8A"/>
    <w:rsid w:val="00EC6B8B"/>
    <w:rsid w:val="00EC7268"/>
    <w:rsid w:val="00EC75CE"/>
    <w:rsid w:val="00EC7606"/>
    <w:rsid w:val="00ED002B"/>
    <w:rsid w:val="00ED2101"/>
    <w:rsid w:val="00ED231B"/>
    <w:rsid w:val="00ED361E"/>
    <w:rsid w:val="00ED773F"/>
    <w:rsid w:val="00ED7776"/>
    <w:rsid w:val="00ED7873"/>
    <w:rsid w:val="00EE0A3D"/>
    <w:rsid w:val="00EE26E6"/>
    <w:rsid w:val="00EE2A16"/>
    <w:rsid w:val="00EE2A60"/>
    <w:rsid w:val="00EE2F54"/>
    <w:rsid w:val="00EE346E"/>
    <w:rsid w:val="00EE616B"/>
    <w:rsid w:val="00EE70F3"/>
    <w:rsid w:val="00EE7913"/>
    <w:rsid w:val="00EF49B8"/>
    <w:rsid w:val="00EF5CED"/>
    <w:rsid w:val="00EF62FC"/>
    <w:rsid w:val="00EF6EE1"/>
    <w:rsid w:val="00EF7BF4"/>
    <w:rsid w:val="00F00A19"/>
    <w:rsid w:val="00F01D74"/>
    <w:rsid w:val="00F03B91"/>
    <w:rsid w:val="00F041FC"/>
    <w:rsid w:val="00F04537"/>
    <w:rsid w:val="00F04A7B"/>
    <w:rsid w:val="00F04B36"/>
    <w:rsid w:val="00F0566E"/>
    <w:rsid w:val="00F0786C"/>
    <w:rsid w:val="00F07C0E"/>
    <w:rsid w:val="00F112E3"/>
    <w:rsid w:val="00F1261C"/>
    <w:rsid w:val="00F13DBE"/>
    <w:rsid w:val="00F15568"/>
    <w:rsid w:val="00F155DB"/>
    <w:rsid w:val="00F159D9"/>
    <w:rsid w:val="00F159E4"/>
    <w:rsid w:val="00F20198"/>
    <w:rsid w:val="00F203C3"/>
    <w:rsid w:val="00F204DA"/>
    <w:rsid w:val="00F206AA"/>
    <w:rsid w:val="00F22191"/>
    <w:rsid w:val="00F234ED"/>
    <w:rsid w:val="00F239E4"/>
    <w:rsid w:val="00F24341"/>
    <w:rsid w:val="00F250E8"/>
    <w:rsid w:val="00F25234"/>
    <w:rsid w:val="00F25788"/>
    <w:rsid w:val="00F2719E"/>
    <w:rsid w:val="00F27D4D"/>
    <w:rsid w:val="00F31EFC"/>
    <w:rsid w:val="00F33BD7"/>
    <w:rsid w:val="00F35E43"/>
    <w:rsid w:val="00F35E9D"/>
    <w:rsid w:val="00F368D2"/>
    <w:rsid w:val="00F36C3A"/>
    <w:rsid w:val="00F37432"/>
    <w:rsid w:val="00F378D0"/>
    <w:rsid w:val="00F40354"/>
    <w:rsid w:val="00F40443"/>
    <w:rsid w:val="00F46522"/>
    <w:rsid w:val="00F50266"/>
    <w:rsid w:val="00F5051A"/>
    <w:rsid w:val="00F53983"/>
    <w:rsid w:val="00F54921"/>
    <w:rsid w:val="00F56547"/>
    <w:rsid w:val="00F565A7"/>
    <w:rsid w:val="00F63999"/>
    <w:rsid w:val="00F649C4"/>
    <w:rsid w:val="00F64F81"/>
    <w:rsid w:val="00F6569A"/>
    <w:rsid w:val="00F66045"/>
    <w:rsid w:val="00F6633F"/>
    <w:rsid w:val="00F675FD"/>
    <w:rsid w:val="00F70195"/>
    <w:rsid w:val="00F71266"/>
    <w:rsid w:val="00F71298"/>
    <w:rsid w:val="00F71545"/>
    <w:rsid w:val="00F73315"/>
    <w:rsid w:val="00F7348B"/>
    <w:rsid w:val="00F743D6"/>
    <w:rsid w:val="00F77E42"/>
    <w:rsid w:val="00F8048B"/>
    <w:rsid w:val="00F807E3"/>
    <w:rsid w:val="00F80EEB"/>
    <w:rsid w:val="00F83D26"/>
    <w:rsid w:val="00F840F2"/>
    <w:rsid w:val="00F8420F"/>
    <w:rsid w:val="00F847C6"/>
    <w:rsid w:val="00F84EC4"/>
    <w:rsid w:val="00F86BFF"/>
    <w:rsid w:val="00F86CFF"/>
    <w:rsid w:val="00F87BD0"/>
    <w:rsid w:val="00F9120A"/>
    <w:rsid w:val="00F93B18"/>
    <w:rsid w:val="00F94DB7"/>
    <w:rsid w:val="00F95A7A"/>
    <w:rsid w:val="00F95E24"/>
    <w:rsid w:val="00F97BA9"/>
    <w:rsid w:val="00F97BDF"/>
    <w:rsid w:val="00FA09B5"/>
    <w:rsid w:val="00FA4488"/>
    <w:rsid w:val="00FA4600"/>
    <w:rsid w:val="00FA4786"/>
    <w:rsid w:val="00FA51ED"/>
    <w:rsid w:val="00FA5CAC"/>
    <w:rsid w:val="00FA7438"/>
    <w:rsid w:val="00FA7D56"/>
    <w:rsid w:val="00FB20AE"/>
    <w:rsid w:val="00FB2601"/>
    <w:rsid w:val="00FB2F6A"/>
    <w:rsid w:val="00FB5302"/>
    <w:rsid w:val="00FB5BE9"/>
    <w:rsid w:val="00FB5C3C"/>
    <w:rsid w:val="00FB5D76"/>
    <w:rsid w:val="00FB64FF"/>
    <w:rsid w:val="00FB7185"/>
    <w:rsid w:val="00FB7544"/>
    <w:rsid w:val="00FB78F7"/>
    <w:rsid w:val="00FC00A0"/>
    <w:rsid w:val="00FC093E"/>
    <w:rsid w:val="00FC1AEE"/>
    <w:rsid w:val="00FC4677"/>
    <w:rsid w:val="00FC4F62"/>
    <w:rsid w:val="00FC5165"/>
    <w:rsid w:val="00FC52B6"/>
    <w:rsid w:val="00FC53EC"/>
    <w:rsid w:val="00FC543A"/>
    <w:rsid w:val="00FC7883"/>
    <w:rsid w:val="00FC7D19"/>
    <w:rsid w:val="00FD10F0"/>
    <w:rsid w:val="00FD361D"/>
    <w:rsid w:val="00FD4FB2"/>
    <w:rsid w:val="00FD545E"/>
    <w:rsid w:val="00FD5E64"/>
    <w:rsid w:val="00FD68A3"/>
    <w:rsid w:val="00FD6CBE"/>
    <w:rsid w:val="00FE0B4C"/>
    <w:rsid w:val="00FE21C4"/>
    <w:rsid w:val="00FE3041"/>
    <w:rsid w:val="00FE396A"/>
    <w:rsid w:val="00FE45D1"/>
    <w:rsid w:val="00FE51E4"/>
    <w:rsid w:val="00FE66B8"/>
    <w:rsid w:val="00FE7426"/>
    <w:rsid w:val="00FF0DE1"/>
    <w:rsid w:val="00FF16F7"/>
    <w:rsid w:val="00FF1751"/>
    <w:rsid w:val="00FF29FE"/>
    <w:rsid w:val="00FF3797"/>
    <w:rsid w:val="00FF458E"/>
    <w:rsid w:val="00FF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708FF4"/>
  <w15:docId w15:val="{0D84A8F8-04EF-4D87-9BCB-E5FCA8A51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A5C"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7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79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3F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622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qFormat/>
    <w:rsid w:val="00973FA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ZA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837AB"/>
  </w:style>
  <w:style w:type="character" w:customStyle="1" w:styleId="FooterChar">
    <w:name w:val="Footer Char"/>
    <w:basedOn w:val="DefaultParagraphFont"/>
    <w:link w:val="Footer"/>
    <w:uiPriority w:val="99"/>
    <w:qFormat/>
    <w:rsid w:val="001837AB"/>
  </w:style>
  <w:style w:type="character" w:styleId="CommentReference">
    <w:name w:val="annotation reference"/>
    <w:basedOn w:val="DefaultParagraphFont"/>
    <w:uiPriority w:val="99"/>
    <w:semiHidden/>
    <w:unhideWhenUsed/>
    <w:qFormat/>
    <w:rsid w:val="00A64E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A64E0F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A64E0F"/>
    <w:rPr>
      <w:b/>
      <w:bCs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F66BC2"/>
    <w:rPr>
      <w:sz w:val="20"/>
      <w:szCs w:val="20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F66BC2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EA7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A79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31E58"/>
    <w:rPr>
      <w:color w:val="0000FF"/>
      <w:u w:val="single"/>
    </w:rPr>
  </w:style>
  <w:style w:type="character" w:customStyle="1" w:styleId="named-content">
    <w:name w:val="named-content"/>
    <w:basedOn w:val="DefaultParagraphFont"/>
    <w:qFormat/>
    <w:rsid w:val="00A31E58"/>
  </w:style>
  <w:style w:type="character" w:customStyle="1" w:styleId="authors">
    <w:name w:val="authors"/>
    <w:basedOn w:val="DefaultParagraphFont"/>
    <w:qFormat/>
    <w:rsid w:val="00A31E58"/>
  </w:style>
  <w:style w:type="character" w:customStyle="1" w:styleId="heading">
    <w:name w:val="heading"/>
    <w:basedOn w:val="DefaultParagraphFont"/>
    <w:qFormat/>
    <w:rsid w:val="00A31E58"/>
  </w:style>
  <w:style w:type="character" w:styleId="Emphasis">
    <w:name w:val="Emphasis"/>
    <w:basedOn w:val="DefaultParagraphFont"/>
    <w:uiPriority w:val="20"/>
    <w:qFormat/>
    <w:rsid w:val="002C203D"/>
    <w:rPr>
      <w:i/>
      <w:iCs/>
    </w:rPr>
  </w:style>
  <w:style w:type="character" w:customStyle="1" w:styleId="EndNoteBibliographyTitleChar">
    <w:name w:val="EndNote Bibliography Title Char"/>
    <w:basedOn w:val="DefaultParagraphFont"/>
    <w:link w:val="EndNoteBibliographyTitle"/>
    <w:qFormat/>
    <w:rsid w:val="002C203D"/>
    <w:rPr>
      <w:rFonts w:ascii="Calibri" w:hAnsi="Calibri" w:cs="Calibri"/>
      <w:sz w:val="22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qFormat/>
    <w:rsid w:val="002C203D"/>
    <w:rPr>
      <w:rFonts w:ascii="Calibri" w:hAnsi="Calibri" w:cs="Calibri"/>
      <w:sz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DB0D7B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qFormat/>
    <w:rsid w:val="00BC210C"/>
    <w:rPr>
      <w:rFonts w:ascii="Segoe UI" w:hAnsi="Segoe UI" w:cs="Segoe UI"/>
      <w:sz w:val="18"/>
      <w:szCs w:val="18"/>
      <w:shd w:val="clear" w:color="auto" w:fill="FFFF00"/>
    </w:rPr>
  </w:style>
  <w:style w:type="character" w:customStyle="1" w:styleId="cf11">
    <w:name w:val="cf11"/>
    <w:basedOn w:val="DefaultParagraphFont"/>
    <w:qFormat/>
    <w:rsid w:val="00BC210C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B8622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Heading0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724D62"/>
    <w:pPr>
      <w:spacing w:after="200" w:line="240" w:lineRule="auto"/>
    </w:pPr>
    <w:rPr>
      <w:i/>
      <w:iCs/>
      <w:color w:val="44546A" w:themeColor="text2"/>
      <w:sz w:val="18"/>
      <w:szCs w:val="18"/>
      <w:lang w:val="en-ZA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C919B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837AB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837AB"/>
    <w:pPr>
      <w:tabs>
        <w:tab w:val="center" w:pos="4513"/>
        <w:tab w:val="right" w:pos="9026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A64E0F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A64E0F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66BC2"/>
    <w:pPr>
      <w:spacing w:after="0" w:line="240" w:lineRule="auto"/>
    </w:pPr>
    <w:rPr>
      <w:sz w:val="20"/>
      <w:szCs w:val="20"/>
    </w:rPr>
  </w:style>
  <w:style w:type="paragraph" w:styleId="Revision">
    <w:name w:val="Revision"/>
    <w:uiPriority w:val="99"/>
    <w:semiHidden/>
    <w:qFormat/>
    <w:rsid w:val="008A0E1F"/>
    <w:rPr>
      <w:sz w:val="22"/>
    </w:rPr>
  </w:style>
  <w:style w:type="paragraph" w:customStyle="1" w:styleId="EndNoteBibliographyTitle">
    <w:name w:val="EndNote Bibliography Title"/>
    <w:basedOn w:val="Normal"/>
    <w:link w:val="EndNoteBibliographyTitleChar"/>
    <w:qFormat/>
    <w:rsid w:val="002C203D"/>
    <w:pPr>
      <w:spacing w:after="0"/>
      <w:jc w:val="center"/>
    </w:pPr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qFormat/>
    <w:rsid w:val="002C203D"/>
    <w:pPr>
      <w:spacing w:line="240" w:lineRule="auto"/>
    </w:pPr>
    <w:rPr>
      <w:rFonts w:ascii="Calibri" w:hAnsi="Calibri" w:cs="Calibri"/>
      <w:lang w:val="en-US"/>
    </w:rPr>
  </w:style>
  <w:style w:type="paragraph" w:styleId="NormalWeb">
    <w:name w:val="Normal (Web)"/>
    <w:basedOn w:val="Normal"/>
    <w:uiPriority w:val="99"/>
    <w:semiHidden/>
    <w:unhideWhenUsed/>
    <w:qFormat/>
    <w:rsid w:val="00DB0D7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E13AC6"/>
    <w:pPr>
      <w:ind w:left="720"/>
      <w:contextualSpacing/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724D62"/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1165C"/>
    <w:pPr>
      <w:suppressAutoHyphens w:val="0"/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1165C"/>
    <w:pPr>
      <w:suppressAutoHyphens w:val="0"/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277A0"/>
    <w:pPr>
      <w:tabs>
        <w:tab w:val="right" w:leader="dot" w:pos="9016"/>
      </w:tabs>
      <w:suppressAutoHyphens w:val="0"/>
      <w:spacing w:after="0" w:line="360" w:lineRule="auto"/>
      <w:jc w:val="both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1165C"/>
    <w:pPr>
      <w:suppressAutoHyphens w:val="0"/>
      <w:spacing w:after="100"/>
      <w:ind w:left="440"/>
    </w:pPr>
    <w:rPr>
      <w:rFonts w:eastAsiaTheme="minorEastAsia" w:cs="Times New Roman"/>
      <w:lang w:val="en-US"/>
    </w:rPr>
  </w:style>
  <w:style w:type="table" w:customStyle="1" w:styleId="TableGrid1">
    <w:name w:val="Table Grid1"/>
    <w:basedOn w:val="TableNormal"/>
    <w:uiPriority w:val="39"/>
    <w:rsid w:val="00310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unhideWhenUsed/>
    <w:rsid w:val="00E74C8C"/>
    <w:pPr>
      <w:spacing w:after="0"/>
    </w:pPr>
  </w:style>
  <w:style w:type="table" w:styleId="PlainTable2">
    <w:name w:val="Plain Table 2"/>
    <w:basedOn w:val="TableNormal"/>
    <w:uiPriority w:val="42"/>
    <w:rsid w:val="00500A8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paragraph" w:customStyle="1" w:styleId="pf0">
    <w:name w:val="pf0"/>
    <w:basedOn w:val="Normal"/>
    <w:rsid w:val="00E8023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paragraph" w:customStyle="1" w:styleId="my-0">
    <w:name w:val="my-0"/>
    <w:basedOn w:val="Normal"/>
    <w:rsid w:val="00F7348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en-ZA"/>
    </w:rPr>
  </w:style>
  <w:style w:type="character" w:styleId="Strong">
    <w:name w:val="Strong"/>
    <w:basedOn w:val="DefaultParagraphFont"/>
    <w:uiPriority w:val="22"/>
    <w:qFormat/>
    <w:rsid w:val="00F734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30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9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2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012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60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289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89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1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7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6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7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0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2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9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583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4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715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9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8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7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4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2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8159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69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983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6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1120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50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85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3282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2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11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9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84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50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9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en-US"/>
  <c:roundedCorners val="0"/>
  <c:style val="2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Water Source (WS)</c:v>
                </c:pt>
              </c:strCache>
            </c:strRef>
          </c:tx>
          <c:spPr>
            <a:solidFill>
              <a:srgbClr val="4472C4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categories</c:f>
              <c:strCache>
                <c:ptCount val="7"/>
                <c:pt idx="0">
                  <c:v>Farm A</c:v>
                </c:pt>
                <c:pt idx="1">
                  <c:v>Farm B</c:v>
                </c:pt>
                <c:pt idx="2">
                  <c:v>Farm C</c:v>
                </c:pt>
                <c:pt idx="3">
                  <c:v>Farm D</c:v>
                </c:pt>
                <c:pt idx="4">
                  <c:v>Farm E</c:v>
                </c:pt>
                <c:pt idx="5">
                  <c:v>Farm F</c:v>
                </c:pt>
                <c:pt idx="6">
                  <c:v>Farm G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0.5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762-4FAA-BED2-00FBD43B1FFC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Irrigation Point (IP)</c:v>
                </c:pt>
              </c:strCache>
            </c:strRef>
          </c:tx>
          <c:spPr>
            <a:solidFill>
              <a:srgbClr val="ED7D31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categories</c:f>
              <c:strCache>
                <c:ptCount val="7"/>
                <c:pt idx="0">
                  <c:v>Farm A</c:v>
                </c:pt>
                <c:pt idx="1">
                  <c:v>Farm B</c:v>
                </c:pt>
                <c:pt idx="2">
                  <c:v>Farm C</c:v>
                </c:pt>
                <c:pt idx="3">
                  <c:v>Farm D</c:v>
                </c:pt>
                <c:pt idx="4">
                  <c:v>Farm E</c:v>
                </c:pt>
                <c:pt idx="5">
                  <c:v>Farm F</c:v>
                </c:pt>
                <c:pt idx="6">
                  <c:v>Farm G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762-4FAA-BED2-00FBD43B1F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711638"/>
        <c:axId val="88459639"/>
      </c:barChart>
      <c:catAx>
        <c:axId val="571163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en-US"/>
          </a:p>
        </c:txPr>
        <c:crossAx val="88459639"/>
        <c:crosses val="autoZero"/>
        <c:auto val="1"/>
        <c:lblAlgn val="ctr"/>
        <c:lblOffset val="100"/>
        <c:noMultiLvlLbl val="0"/>
      </c:catAx>
      <c:valAx>
        <c:axId val="88459639"/>
        <c:scaling>
          <c:orientation val="minMax"/>
          <c:max val="1"/>
        </c:scaling>
        <c:delete val="0"/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title>
          <c:tx>
            <c:rich>
              <a:bodyPr rot="-5400000"/>
              <a:lstStyle/>
              <a:p>
                <a:pPr>
                  <a:defRPr lang="en-ZA" sz="1000" b="0" strike="noStrike" spc="-1">
                    <a:solidFill>
                      <a:srgbClr val="595959"/>
                    </a:solidFill>
                    <a:latin typeface="Calibri"/>
                  </a:defRPr>
                </a:pPr>
                <a:r>
                  <a:rPr lang="en-ZA" sz="1000" b="0" strike="noStrike" spc="-1">
                    <a:solidFill>
                      <a:srgbClr val="595959"/>
                    </a:solidFill>
                    <a:latin typeface="Calibri"/>
                  </a:rPr>
                  <a:t>Percentage samples that tested positive </a:t>
                </a:r>
              </a:p>
            </c:rich>
          </c:tx>
          <c:layout>
            <c:manualLayout>
              <c:xMode val="edge"/>
              <c:yMode val="edge"/>
              <c:x val="2.4116706989352549E-2"/>
              <c:y val="0.11674965925399942"/>
            </c:manualLayout>
          </c:layout>
          <c:overlay val="0"/>
          <c:spPr>
            <a:noFill/>
            <a:ln>
              <a:noFill/>
            </a:ln>
          </c:spPr>
        </c:title>
        <c:numFmt formatCode="0%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en-US"/>
          </a:p>
        </c:txPr>
        <c:crossAx val="5711638"/>
        <c:crosses val="autoZero"/>
        <c:crossBetween val="between"/>
      </c:valAx>
      <c:spPr>
        <a:noFill/>
        <a:ln>
          <a:noFill/>
        </a:ln>
      </c:spPr>
    </c:plotArea>
    <c:legend>
      <c:legendPos val="b"/>
      <c:overlay val="0"/>
      <c:spPr>
        <a:noFill/>
        <a:ln>
          <a:noFill/>
        </a:ln>
      </c:spPr>
      <c:txPr>
        <a:bodyPr/>
        <a:lstStyle/>
        <a:p>
          <a:pPr>
            <a:defRPr sz="900" b="0" strike="noStrike" spc="-1">
              <a:solidFill>
                <a:srgbClr val="595959"/>
              </a:solidFill>
              <a:latin typeface="Calibri"/>
            </a:defRPr>
          </a:pPr>
          <a:endParaRPr lang="en-US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c:style val="2"/>
  <c:chart>
    <c:autoTitleDeleted val="1"/>
    <c:plotArea>
      <c:layout>
        <c:manualLayout>
          <c:layoutTarget val="inner"/>
          <c:xMode val="edge"/>
          <c:yMode val="edge"/>
          <c:x val="0.12793750000000001"/>
          <c:y val="7.2444444444444395E-2"/>
          <c:w val="0.84699999999999998"/>
          <c:h val="0.70844444444444399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Nutrient rich water/Manure </c:v>
                </c:pt>
              </c:strCache>
            </c:strRef>
          </c:tx>
          <c:spPr>
            <a:solidFill>
              <a:srgbClr val="4472C4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Sheet1!$A$2:$A$8</c:f>
              <c:strCache>
                <c:ptCount val="7"/>
                <c:pt idx="0">
                  <c:v>Farm A</c:v>
                </c:pt>
                <c:pt idx="1">
                  <c:v>Farm B</c:v>
                </c:pt>
                <c:pt idx="2">
                  <c:v>Farm C</c:v>
                </c:pt>
                <c:pt idx="3">
                  <c:v>Farm D</c:v>
                </c:pt>
                <c:pt idx="4">
                  <c:v>Farm E</c:v>
                </c:pt>
                <c:pt idx="5">
                  <c:v>Farm F</c:v>
                </c:pt>
                <c:pt idx="6">
                  <c:v>Farm G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4C-4F32-947E-632E963A784B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Manure </c:v>
                </c:pt>
              </c:strCache>
            </c:strRef>
          </c:tx>
          <c:spPr>
            <a:solidFill>
              <a:srgbClr val="F4B183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Sheet1!$A$2:$A$8</c:f>
              <c:strCache>
                <c:ptCount val="7"/>
                <c:pt idx="0">
                  <c:v>Farm A</c:v>
                </c:pt>
                <c:pt idx="1">
                  <c:v>Farm B</c:v>
                </c:pt>
                <c:pt idx="2">
                  <c:v>Farm C</c:v>
                </c:pt>
                <c:pt idx="3">
                  <c:v>Farm D</c:v>
                </c:pt>
                <c:pt idx="4">
                  <c:v>Farm E</c:v>
                </c:pt>
                <c:pt idx="5">
                  <c:v>Farm F</c:v>
                </c:pt>
                <c:pt idx="6">
                  <c:v>Farm G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1">
                  <c:v>7.0000000000000007E-2</c:v>
                </c:pt>
                <c:pt idx="4">
                  <c:v>0.33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4C-4F32-947E-632E963A784B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Plant-based</c:v>
                </c:pt>
              </c:strCache>
            </c:strRef>
          </c:tx>
          <c:spPr>
            <a:solidFill>
              <a:srgbClr val="843C0B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Sheet1!$A$2:$A$8</c:f>
              <c:strCache>
                <c:ptCount val="7"/>
                <c:pt idx="0">
                  <c:v>Farm A</c:v>
                </c:pt>
                <c:pt idx="1">
                  <c:v>Farm B</c:v>
                </c:pt>
                <c:pt idx="2">
                  <c:v>Farm C</c:v>
                </c:pt>
                <c:pt idx="3">
                  <c:v>Farm D</c:v>
                </c:pt>
                <c:pt idx="4">
                  <c:v>Farm E</c:v>
                </c:pt>
                <c:pt idx="5">
                  <c:v>Farm F</c:v>
                </c:pt>
                <c:pt idx="6">
                  <c:v>Farm G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2">
                  <c:v>0.27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4C-4F32-947E-632E963A784B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Commercial fertiliser/Manure</c:v>
                </c:pt>
              </c:strCache>
            </c:strRef>
          </c:tx>
          <c:spPr>
            <a:solidFill>
              <a:srgbClr val="C55A11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Sheet1!$A$2:$A$8</c:f>
              <c:strCache>
                <c:ptCount val="7"/>
                <c:pt idx="0">
                  <c:v>Farm A</c:v>
                </c:pt>
                <c:pt idx="1">
                  <c:v>Farm B</c:v>
                </c:pt>
                <c:pt idx="2">
                  <c:v>Farm C</c:v>
                </c:pt>
                <c:pt idx="3">
                  <c:v>Farm D</c:v>
                </c:pt>
                <c:pt idx="4">
                  <c:v>Farm E</c:v>
                </c:pt>
                <c:pt idx="5">
                  <c:v>Farm F</c:v>
                </c:pt>
                <c:pt idx="6">
                  <c:v>Farm G</c:v>
                </c:pt>
              </c:strCache>
            </c:strRef>
          </c:cat>
          <c:val>
            <c:numRef>
              <c:f>Sheet1!$E$2:$E$8</c:f>
              <c:numCache>
                <c:formatCode>General</c:formatCode>
                <c:ptCount val="7"/>
                <c:pt idx="5">
                  <c:v>0.4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34C-4F32-947E-632E963A784B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No fertiliser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Sheet1!$A$2:$A$8</c:f>
              <c:strCache>
                <c:ptCount val="7"/>
                <c:pt idx="0">
                  <c:v>Farm A</c:v>
                </c:pt>
                <c:pt idx="1">
                  <c:v>Farm B</c:v>
                </c:pt>
                <c:pt idx="2">
                  <c:v>Farm C</c:v>
                </c:pt>
                <c:pt idx="3">
                  <c:v>Farm D</c:v>
                </c:pt>
                <c:pt idx="4">
                  <c:v>Farm E</c:v>
                </c:pt>
                <c:pt idx="5">
                  <c:v>Farm F</c:v>
                </c:pt>
                <c:pt idx="6">
                  <c:v>Farm G</c:v>
                </c:pt>
              </c:strCache>
            </c:strRef>
          </c:cat>
          <c:val>
            <c:numRef>
              <c:f>Sheet1!$F$2:$F$8</c:f>
              <c:numCache>
                <c:formatCode>General</c:formatCode>
                <c:ptCount val="7"/>
                <c:pt idx="3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34C-4F32-947E-632E963A78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1614977"/>
        <c:axId val="43106158"/>
      </c:barChart>
      <c:catAx>
        <c:axId val="7161497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en-US"/>
          </a:p>
        </c:txPr>
        <c:crossAx val="43106158"/>
        <c:crosses val="autoZero"/>
        <c:auto val="1"/>
        <c:lblAlgn val="ctr"/>
        <c:lblOffset val="100"/>
        <c:noMultiLvlLbl val="0"/>
      </c:catAx>
      <c:valAx>
        <c:axId val="43106158"/>
        <c:scaling>
          <c:orientation val="minMax"/>
          <c:max val="1"/>
        </c:scaling>
        <c:delete val="0"/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title>
          <c:tx>
            <c:rich>
              <a:bodyPr rot="-5400000"/>
              <a:lstStyle/>
              <a:p>
                <a:pPr>
                  <a:defRPr lang="en-ZA" sz="1000" b="0" strike="noStrike" spc="-1">
                    <a:solidFill>
                      <a:srgbClr val="595959"/>
                    </a:solidFill>
                    <a:latin typeface="Calibri"/>
                  </a:defRPr>
                </a:pPr>
                <a:r>
                  <a:rPr lang="en-ZA" sz="1000" b="0" strike="noStrike" spc="-1">
                    <a:solidFill>
                      <a:srgbClr val="595959"/>
                    </a:solidFill>
                    <a:latin typeface="Calibri"/>
                  </a:rPr>
                  <a:t>Percentage samples that tested positive </a:t>
                </a:r>
              </a:p>
            </c:rich>
          </c:tx>
          <c:layout>
            <c:manualLayout>
              <c:xMode val="edge"/>
              <c:yMode val="edge"/>
              <c:x val="2.2577319033025678E-2"/>
              <c:y val="0.13122074584426946"/>
            </c:manualLayout>
          </c:layout>
          <c:overlay val="0"/>
          <c:spPr>
            <a:noFill/>
            <a:ln>
              <a:noFill/>
            </a:ln>
          </c:spPr>
        </c:title>
        <c:numFmt formatCode="0%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en-US"/>
          </a:p>
        </c:txPr>
        <c:crossAx val="71614977"/>
        <c:crosses val="autoZero"/>
        <c:crossBetween val="between"/>
      </c:valAx>
      <c:spPr>
        <a:noFill/>
        <a:ln>
          <a:noFill/>
        </a:ln>
      </c:spPr>
    </c:plotArea>
    <c:legend>
      <c:legendPos val="b"/>
      <c:layout>
        <c:manualLayout>
          <c:xMode val="edge"/>
          <c:yMode val="edge"/>
          <c:x val="9.3375E-2"/>
          <c:y val="0.86799999999999999"/>
          <c:w val="0.79042440152509497"/>
          <c:h val="0.13190354483831501"/>
        </c:manualLayout>
      </c:layout>
      <c:overlay val="0"/>
      <c:spPr>
        <a:noFill/>
        <a:ln>
          <a:noFill/>
        </a:ln>
      </c:spPr>
      <c:txPr>
        <a:bodyPr/>
        <a:lstStyle/>
        <a:p>
          <a:pPr>
            <a:defRPr sz="900" b="0" strike="noStrike" spc="-1">
              <a:solidFill>
                <a:srgbClr val="595959"/>
              </a:solidFill>
              <a:latin typeface="Calibri"/>
            </a:defRPr>
          </a:pPr>
          <a:endParaRPr lang="en-US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1"/>
  <c:lang val="en-US"/>
  <c:roundedCorners val="0"/>
  <c:style val="2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Leafy greens vegetable</c:v>
                </c:pt>
              </c:strCache>
            </c:strRef>
          </c:tx>
          <c:spPr>
            <a:solidFill>
              <a:srgbClr val="548235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categories</c:f>
              <c:strCache>
                <c:ptCount val="7"/>
                <c:pt idx="0">
                  <c:v>Farm A</c:v>
                </c:pt>
                <c:pt idx="1">
                  <c:v>Farm B</c:v>
                </c:pt>
                <c:pt idx="2">
                  <c:v>Farm C</c:v>
                </c:pt>
                <c:pt idx="3">
                  <c:v>Farm D</c:v>
                </c:pt>
                <c:pt idx="4">
                  <c:v>Farm E</c:v>
                </c:pt>
                <c:pt idx="5">
                  <c:v>Farm F</c:v>
                </c:pt>
                <c:pt idx="6">
                  <c:v>Farm G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7"/>
                <c:pt idx="0">
                  <c:v>0.31</c:v>
                </c:pt>
                <c:pt idx="1">
                  <c:v>6.7000000000000004E-2</c:v>
                </c:pt>
                <c:pt idx="2">
                  <c:v>0.13300000000000001</c:v>
                </c:pt>
                <c:pt idx="3">
                  <c:v>0.4</c:v>
                </c:pt>
                <c:pt idx="4">
                  <c:v>0.13</c:v>
                </c:pt>
                <c:pt idx="5">
                  <c:v>0.13300000000000001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A8C-4B7E-AE9C-3B046EB60A64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Flowering vegetable</c:v>
                </c:pt>
              </c:strCache>
            </c:strRef>
          </c:tx>
          <c:spPr>
            <a:solidFill>
              <a:srgbClr val="FF33CC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categories</c:f>
              <c:strCache>
                <c:ptCount val="7"/>
                <c:pt idx="0">
                  <c:v>Farm A</c:v>
                </c:pt>
                <c:pt idx="1">
                  <c:v>Farm B</c:v>
                </c:pt>
                <c:pt idx="2">
                  <c:v>Farm C</c:v>
                </c:pt>
                <c:pt idx="3">
                  <c:v>Farm D</c:v>
                </c:pt>
                <c:pt idx="4">
                  <c:v>Farm E</c:v>
                </c:pt>
                <c:pt idx="5">
                  <c:v>Farm F</c:v>
                </c:pt>
                <c:pt idx="6">
                  <c:v>Farm G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0.27</c:v>
                </c:pt>
                <c:pt idx="5">
                  <c:v>7.0000000000000007E-2</c:v>
                </c:pt>
                <c:pt idx="6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A8C-4B7E-AE9C-3B046EB60A64}"/>
            </c:ext>
          </c:extLst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Root vegetable</c:v>
                </c:pt>
              </c:strCache>
            </c:strRef>
          </c:tx>
          <c:spPr>
            <a:solidFill>
              <a:srgbClr val="7030A0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en-US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categories</c:f>
              <c:strCache>
                <c:ptCount val="7"/>
                <c:pt idx="0">
                  <c:v>Farm A</c:v>
                </c:pt>
                <c:pt idx="1">
                  <c:v>Farm B</c:v>
                </c:pt>
                <c:pt idx="2">
                  <c:v>Farm C</c:v>
                </c:pt>
                <c:pt idx="3">
                  <c:v>Farm D</c:v>
                </c:pt>
                <c:pt idx="4">
                  <c:v>Farm E</c:v>
                </c:pt>
                <c:pt idx="5">
                  <c:v>Farm F</c:v>
                </c:pt>
                <c:pt idx="6">
                  <c:v>Farm G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0.2</c:v>
                </c:pt>
                <c:pt idx="3">
                  <c:v>0.1</c:v>
                </c:pt>
                <c:pt idx="4">
                  <c:v>0</c:v>
                </c:pt>
                <c:pt idx="5">
                  <c:v>0.13</c:v>
                </c:pt>
                <c:pt idx="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A8C-4B7E-AE9C-3B046EB60A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100"/>
        <c:axId val="33417095"/>
        <c:axId val="58161300"/>
      </c:barChart>
      <c:catAx>
        <c:axId val="334170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360">
            <a:solidFill>
              <a:srgbClr val="D9D9D9"/>
            </a:solidFill>
            <a:round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en-US"/>
          </a:p>
        </c:txPr>
        <c:crossAx val="58161300"/>
        <c:crosses val="autoZero"/>
        <c:auto val="1"/>
        <c:lblAlgn val="ctr"/>
        <c:lblOffset val="100"/>
        <c:noMultiLvlLbl val="0"/>
      </c:catAx>
      <c:valAx>
        <c:axId val="58161300"/>
        <c:scaling>
          <c:orientation val="minMax"/>
          <c:max val="1"/>
        </c:scaling>
        <c:delete val="0"/>
        <c:axPos val="l"/>
        <c:majorGridlines>
          <c:spPr>
            <a:ln w="9360">
              <a:solidFill>
                <a:srgbClr val="D9D9D9"/>
              </a:solidFill>
              <a:round/>
            </a:ln>
          </c:spPr>
        </c:majorGridlines>
        <c:title>
          <c:tx>
            <c:rich>
              <a:bodyPr rot="-5400000"/>
              <a:lstStyle/>
              <a:p>
                <a:pPr>
                  <a:defRPr lang="en-ZA" sz="1000" b="0" strike="noStrike" spc="-1">
                    <a:solidFill>
                      <a:srgbClr val="595959"/>
                    </a:solidFill>
                    <a:latin typeface="Calibri"/>
                  </a:defRPr>
                </a:pPr>
                <a:r>
                  <a:rPr lang="en-ZA" sz="1000" b="0" strike="noStrike" spc="-1">
                    <a:solidFill>
                      <a:srgbClr val="595959"/>
                    </a:solidFill>
                    <a:latin typeface="Calibri"/>
                  </a:rPr>
                  <a:t>Percentage samples that tested positive </a:t>
                </a:r>
              </a:p>
            </c:rich>
          </c:tx>
          <c:layout>
            <c:manualLayout>
              <c:xMode val="edge"/>
              <c:yMode val="edge"/>
              <c:x val="2.0048333091726805E-2"/>
              <c:y val="0.11676796808274154"/>
            </c:manualLayout>
          </c:layout>
          <c:overlay val="0"/>
          <c:spPr>
            <a:noFill/>
            <a:ln>
              <a:noFill/>
            </a:ln>
          </c:spPr>
        </c:title>
        <c:numFmt formatCode="0%" sourceLinked="0"/>
        <c:majorTickMark val="none"/>
        <c:minorTickMark val="none"/>
        <c:tickLblPos val="nextTo"/>
        <c:spPr>
          <a:ln w="6480">
            <a:noFill/>
          </a:ln>
        </c:spPr>
        <c:txPr>
          <a:bodyPr/>
          <a:lstStyle/>
          <a:p>
            <a:pPr>
              <a:defRPr sz="900" b="0" strike="noStrike" spc="-1">
                <a:solidFill>
                  <a:srgbClr val="595959"/>
                </a:solidFill>
                <a:latin typeface="Calibri"/>
              </a:defRPr>
            </a:pPr>
            <a:endParaRPr lang="en-US"/>
          </a:p>
        </c:txPr>
        <c:crossAx val="33417095"/>
        <c:crosses val="autoZero"/>
        <c:crossBetween val="between"/>
      </c:valAx>
      <c:spPr>
        <a:noFill/>
        <a:ln>
          <a:noFill/>
        </a:ln>
      </c:spPr>
    </c:plotArea>
    <c:legend>
      <c:legendPos val="b"/>
      <c:overlay val="0"/>
      <c:spPr>
        <a:noFill/>
        <a:ln>
          <a:noFill/>
        </a:ln>
      </c:spPr>
      <c:txPr>
        <a:bodyPr/>
        <a:lstStyle/>
        <a:p>
          <a:pPr>
            <a:defRPr sz="900" b="0" strike="noStrike" spc="-1">
              <a:solidFill>
                <a:srgbClr val="595959"/>
              </a:solidFill>
              <a:latin typeface="Calibri"/>
            </a:defRPr>
          </a:pPr>
          <a:endParaRPr lang="en-US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E05BE-36F8-425E-BFC2-2863BE12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Schipper</dc:creator>
  <dc:description/>
  <cp:lastModifiedBy>Robyn Schipper</cp:lastModifiedBy>
  <cp:revision>5</cp:revision>
  <cp:lastPrinted>2025-03-28T06:51:00Z</cp:lastPrinted>
  <dcterms:created xsi:type="dcterms:W3CDTF">2025-03-31T12:21:00Z</dcterms:created>
  <dcterms:modified xsi:type="dcterms:W3CDTF">2025-03-31T12:46:00Z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GrammarlyDocumentId">
    <vt:lpwstr>507e3230021f8ec4fe9316fdc076438b64642f910f59021faebc1b066c6dd4f5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