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A6B" w14:textId="77777777" w:rsidR="001500B1" w:rsidRDefault="001500B1" w:rsidP="001500B1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4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D6140">
        <w:rPr>
          <w:rFonts w:ascii="Times New Roman" w:hAnsi="Times New Roman" w:cs="Times New Roman"/>
          <w:sz w:val="24"/>
          <w:szCs w:val="24"/>
        </w:rPr>
        <w:t>2</w:t>
      </w:r>
    </w:p>
    <w:p w14:paraId="6648F23C" w14:textId="77777777" w:rsidR="001500B1" w:rsidRPr="005B5C4B" w:rsidRDefault="001500B1" w:rsidP="001500B1">
      <w:p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C4B">
        <w:rPr>
          <w:rFonts w:ascii="Times New Roman" w:hAnsi="Times New Roman" w:cs="Times New Roman"/>
          <w:i/>
          <w:iCs/>
          <w:sz w:val="24"/>
          <w:szCs w:val="24"/>
        </w:rPr>
        <w:t>Validity and reliability of the PEDS, PEDS:DM and PEDS tools</w:t>
      </w:r>
    </w:p>
    <w:tbl>
      <w:tblPr>
        <w:tblStyle w:val="TableGrid6"/>
        <w:tblW w:w="9351" w:type="dxa"/>
        <w:tblLook w:val="04A0" w:firstRow="1" w:lastRow="0" w:firstColumn="1" w:lastColumn="0" w:noHBand="0" w:noVBand="1"/>
      </w:tblPr>
      <w:tblGrid>
        <w:gridCol w:w="1491"/>
        <w:gridCol w:w="1404"/>
        <w:gridCol w:w="1778"/>
        <w:gridCol w:w="1755"/>
        <w:gridCol w:w="1476"/>
        <w:gridCol w:w="1447"/>
      </w:tblGrid>
      <w:tr w:rsidR="001500B1" w:rsidRPr="007D6140" w14:paraId="57246974" w14:textId="77777777" w:rsidTr="009A5046">
        <w:tc>
          <w:tcPr>
            <w:tcW w:w="1491" w:type="dxa"/>
            <w:vMerge w:val="restart"/>
          </w:tcPr>
          <w:p w14:paraId="1781E00F" w14:textId="77777777" w:rsidR="001500B1" w:rsidRPr="00D25785" w:rsidRDefault="001500B1" w:rsidP="009A5046">
            <w:pPr>
              <w:spacing w:after="16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Tool</w:t>
            </w:r>
          </w:p>
        </w:tc>
        <w:tc>
          <w:tcPr>
            <w:tcW w:w="1404" w:type="dxa"/>
            <w:vMerge w:val="restart"/>
          </w:tcPr>
          <w:p w14:paraId="6C7D6761" w14:textId="77777777" w:rsidR="001500B1" w:rsidRPr="00D25785" w:rsidRDefault="001500B1" w:rsidP="009A5046">
            <w:pPr>
              <w:spacing w:after="16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3533" w:type="dxa"/>
            <w:gridSpan w:val="2"/>
          </w:tcPr>
          <w:p w14:paraId="21F3DC77" w14:textId="77777777" w:rsidR="001500B1" w:rsidRPr="00D25785" w:rsidRDefault="001500B1" w:rsidP="009A5046">
            <w:pPr>
              <w:spacing w:after="16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Validity</w:t>
            </w:r>
          </w:p>
        </w:tc>
        <w:tc>
          <w:tcPr>
            <w:tcW w:w="2923" w:type="dxa"/>
            <w:gridSpan w:val="2"/>
          </w:tcPr>
          <w:p w14:paraId="235D8E2F" w14:textId="77777777" w:rsidR="001500B1" w:rsidRPr="00D25785" w:rsidRDefault="001500B1" w:rsidP="009A5046">
            <w:pPr>
              <w:spacing w:after="16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Reliability</w:t>
            </w:r>
          </w:p>
        </w:tc>
      </w:tr>
      <w:tr w:rsidR="001500B1" w:rsidRPr="007D6140" w14:paraId="5F981584" w14:textId="77777777" w:rsidTr="009A5046">
        <w:tc>
          <w:tcPr>
            <w:tcW w:w="1491" w:type="dxa"/>
            <w:vMerge/>
          </w:tcPr>
          <w:p w14:paraId="2AEE72D0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14:paraId="18B77014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05372ED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1755" w:type="dxa"/>
          </w:tcPr>
          <w:p w14:paraId="2C6CC8C3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Specificity </w:t>
            </w:r>
          </w:p>
        </w:tc>
        <w:tc>
          <w:tcPr>
            <w:tcW w:w="1476" w:type="dxa"/>
          </w:tcPr>
          <w:p w14:paraId="645EB26F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Test-retest</w:t>
            </w:r>
          </w:p>
        </w:tc>
        <w:tc>
          <w:tcPr>
            <w:tcW w:w="1447" w:type="dxa"/>
          </w:tcPr>
          <w:p w14:paraId="1FF0451C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Inter-rater</w:t>
            </w:r>
          </w:p>
        </w:tc>
      </w:tr>
      <w:tr w:rsidR="001500B1" w:rsidRPr="007D6140" w14:paraId="4CBEEF57" w14:textId="77777777" w:rsidTr="009A5046">
        <w:tc>
          <w:tcPr>
            <w:tcW w:w="1491" w:type="dxa"/>
            <w:vMerge w:val="restart"/>
          </w:tcPr>
          <w:p w14:paraId="687E5AB1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PEDS</w:t>
            </w:r>
          </w:p>
        </w:tc>
        <w:tc>
          <w:tcPr>
            <w:tcW w:w="1404" w:type="dxa"/>
          </w:tcPr>
          <w:p w14:paraId="526A2E2A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785">
              <w:rPr>
                <w:rFonts w:ascii="Times New Roman" w:hAnsi="Times New Roman"/>
                <w:sz w:val="20"/>
                <w:szCs w:val="20"/>
              </w:rPr>
              <w:t>Glascoe</w:t>
            </w:r>
            <w:proofErr w:type="spellEnd"/>
            <w:r w:rsidRPr="00D25785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778" w:type="dxa"/>
          </w:tcPr>
          <w:p w14:paraId="4E79D062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91 – 97%</w:t>
            </w:r>
          </w:p>
        </w:tc>
        <w:tc>
          <w:tcPr>
            <w:tcW w:w="1755" w:type="dxa"/>
          </w:tcPr>
          <w:p w14:paraId="323C1240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73 – 86%</w:t>
            </w:r>
          </w:p>
        </w:tc>
        <w:tc>
          <w:tcPr>
            <w:tcW w:w="1476" w:type="dxa"/>
          </w:tcPr>
          <w:p w14:paraId="4594E223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BB43E17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B1" w:rsidRPr="007D6140" w14:paraId="32469C99" w14:textId="77777777" w:rsidTr="009A5046">
        <w:tc>
          <w:tcPr>
            <w:tcW w:w="1491" w:type="dxa"/>
            <w:vMerge/>
          </w:tcPr>
          <w:p w14:paraId="53F0C787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7236799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785">
              <w:rPr>
                <w:rFonts w:ascii="Times New Roman" w:hAnsi="Times New Roman"/>
                <w:sz w:val="20"/>
                <w:szCs w:val="20"/>
              </w:rPr>
              <w:t>Vameghi</w:t>
            </w:r>
            <w:proofErr w:type="spellEnd"/>
            <w:r w:rsidRPr="00D25785">
              <w:rPr>
                <w:rFonts w:ascii="Times New Roman" w:hAnsi="Times New Roman"/>
                <w:sz w:val="20"/>
                <w:szCs w:val="20"/>
              </w:rPr>
              <w:t xml:space="preserve"> et al., 2015</w:t>
            </w:r>
          </w:p>
        </w:tc>
        <w:tc>
          <w:tcPr>
            <w:tcW w:w="1778" w:type="dxa"/>
          </w:tcPr>
          <w:p w14:paraId="044A4575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0574A0F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FC0EFE7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Correlation coefficient: .87</w:t>
            </w:r>
          </w:p>
        </w:tc>
        <w:tc>
          <w:tcPr>
            <w:tcW w:w="1447" w:type="dxa"/>
          </w:tcPr>
          <w:p w14:paraId="47C02B36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B1" w:rsidRPr="007D6140" w14:paraId="222E1B12" w14:textId="77777777" w:rsidTr="009A5046">
        <w:tc>
          <w:tcPr>
            <w:tcW w:w="1491" w:type="dxa"/>
            <w:vMerge/>
          </w:tcPr>
          <w:p w14:paraId="59F25539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0BC5C06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785">
              <w:rPr>
                <w:rFonts w:ascii="Times New Roman" w:hAnsi="Times New Roman"/>
                <w:sz w:val="20"/>
                <w:szCs w:val="20"/>
              </w:rPr>
              <w:t>Sheldrick</w:t>
            </w:r>
            <w:proofErr w:type="spellEnd"/>
            <w:r w:rsidRPr="00D25785">
              <w:rPr>
                <w:rFonts w:ascii="Times New Roman" w:hAnsi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1778" w:type="dxa"/>
          </w:tcPr>
          <w:p w14:paraId="152336BD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Severe delays (0 – 42 months): 41.8% - 94.5%</w:t>
            </w:r>
          </w:p>
          <w:p w14:paraId="02F79B00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Moderate-to-severe delays (0 – 42 months): 48.8% – 69.8%Severe delays (43 – 66 months): 41.8% - 94.5%</w:t>
            </w:r>
          </w:p>
          <w:p w14:paraId="7001F429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Moderate-to-severe delays (43 – 66 months): 17.1% - 70.8%</w:t>
            </w:r>
          </w:p>
        </w:tc>
        <w:tc>
          <w:tcPr>
            <w:tcW w:w="1755" w:type="dxa"/>
          </w:tcPr>
          <w:p w14:paraId="1600CCB3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0-42 months: 75.7% - 83.1%</w:t>
            </w:r>
          </w:p>
          <w:p w14:paraId="37B9A68D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43 – 66 months: 64.3% - 81.3%</w:t>
            </w:r>
          </w:p>
        </w:tc>
        <w:tc>
          <w:tcPr>
            <w:tcW w:w="1476" w:type="dxa"/>
          </w:tcPr>
          <w:p w14:paraId="6837398D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9A7B742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B1" w:rsidRPr="007D6140" w14:paraId="22EBE405" w14:textId="77777777" w:rsidTr="009A5046">
        <w:tc>
          <w:tcPr>
            <w:tcW w:w="1491" w:type="dxa"/>
            <w:vMerge w:val="restart"/>
          </w:tcPr>
          <w:p w14:paraId="5DD14EF0" w14:textId="77777777" w:rsidR="001500B1" w:rsidRPr="00D25785" w:rsidRDefault="001500B1" w:rsidP="009A5046">
            <w:pPr>
              <w:spacing w:after="16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>PEDS:DM</w:t>
            </w:r>
          </w:p>
        </w:tc>
        <w:tc>
          <w:tcPr>
            <w:tcW w:w="1404" w:type="dxa"/>
          </w:tcPr>
          <w:p w14:paraId="41CE3F61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Brothers et al., 2008</w:t>
            </w:r>
          </w:p>
        </w:tc>
        <w:tc>
          <w:tcPr>
            <w:tcW w:w="1778" w:type="dxa"/>
          </w:tcPr>
          <w:p w14:paraId="20623F30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83%</w:t>
            </w:r>
          </w:p>
          <w:p w14:paraId="741ECAD5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C5848A2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1476" w:type="dxa"/>
          </w:tcPr>
          <w:p w14:paraId="41E76769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Guttman’s coefficient: .98 - .99</w:t>
            </w:r>
          </w:p>
        </w:tc>
        <w:tc>
          <w:tcPr>
            <w:tcW w:w="1447" w:type="dxa"/>
          </w:tcPr>
          <w:p w14:paraId="65770AF2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Guttman’s coefficient: .82 - .96</w:t>
            </w:r>
          </w:p>
        </w:tc>
      </w:tr>
      <w:tr w:rsidR="001500B1" w:rsidRPr="007D6140" w14:paraId="46344B8C" w14:textId="77777777" w:rsidTr="009A5046">
        <w:tc>
          <w:tcPr>
            <w:tcW w:w="1491" w:type="dxa"/>
            <w:vMerge/>
          </w:tcPr>
          <w:p w14:paraId="4E976231" w14:textId="77777777" w:rsidR="001500B1" w:rsidRPr="00D25785" w:rsidRDefault="001500B1" w:rsidP="009A5046">
            <w:pPr>
              <w:spacing w:after="16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09ECB7E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785">
              <w:rPr>
                <w:rFonts w:ascii="Times New Roman" w:hAnsi="Times New Roman"/>
                <w:sz w:val="20"/>
                <w:szCs w:val="20"/>
              </w:rPr>
              <w:t>Sheldrick</w:t>
            </w:r>
            <w:proofErr w:type="spellEnd"/>
            <w:r w:rsidRPr="00D25785">
              <w:rPr>
                <w:rFonts w:ascii="Times New Roman" w:hAnsi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1778" w:type="dxa"/>
          </w:tcPr>
          <w:p w14:paraId="06F16483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Severe delays (0 – 42 months): 49.6% - 71%</w:t>
            </w:r>
          </w:p>
          <w:p w14:paraId="75A9B0DB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Moderate-to-severe delays (0 – 42 months): 73.4% - 92.6%</w:t>
            </w:r>
          </w:p>
          <w:p w14:paraId="09F2B567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Severe delays (43 – 66 months): 78.3% - 93.1%</w:t>
            </w:r>
          </w:p>
          <w:p w14:paraId="3F25DD00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Moderate-to-severe delays (43 – 66 months): 77.1% - 92.7%</w:t>
            </w:r>
          </w:p>
          <w:p w14:paraId="2A9C25C3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3617EBC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0 – 42 months: 30.2% – 56.2%</w:t>
            </w:r>
          </w:p>
          <w:p w14:paraId="0E47C46C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43 – 66 months: 6.7% - 23.9%</w:t>
            </w:r>
          </w:p>
        </w:tc>
        <w:tc>
          <w:tcPr>
            <w:tcW w:w="1476" w:type="dxa"/>
          </w:tcPr>
          <w:p w14:paraId="724719B4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CB2109E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B1" w:rsidRPr="007D6140" w14:paraId="2B63C03F" w14:textId="77777777" w:rsidTr="009A5046">
        <w:tc>
          <w:tcPr>
            <w:tcW w:w="1491" w:type="dxa"/>
            <w:vMerge w:val="restart"/>
          </w:tcPr>
          <w:p w14:paraId="5F432501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57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PEDS Tools </w:t>
            </w:r>
          </w:p>
        </w:tc>
        <w:tc>
          <w:tcPr>
            <w:tcW w:w="1404" w:type="dxa"/>
          </w:tcPr>
          <w:p w14:paraId="2DEF8DD4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785">
              <w:rPr>
                <w:rFonts w:ascii="Times New Roman" w:hAnsi="Times New Roman"/>
                <w:sz w:val="20"/>
                <w:szCs w:val="20"/>
              </w:rPr>
              <w:t>Sheldrick</w:t>
            </w:r>
            <w:proofErr w:type="spellEnd"/>
            <w:r w:rsidRPr="00D25785">
              <w:rPr>
                <w:rFonts w:ascii="Times New Roman" w:hAnsi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1778" w:type="dxa"/>
          </w:tcPr>
          <w:p w14:paraId="5A20B829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Severe delays (0 – 42 months): 55.4% - 91.9%</w:t>
            </w:r>
          </w:p>
          <w:p w14:paraId="3445D4F0" w14:textId="77777777" w:rsidR="001500B1" w:rsidRPr="00D25785" w:rsidRDefault="001500B1" w:rsidP="009A5046">
            <w:pPr>
              <w:spacing w:after="16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Moderate-to-severe delays (0 – 42 months): 44% - 65.3%</w:t>
            </w:r>
          </w:p>
          <w:p w14:paraId="7606BF12" w14:textId="77777777" w:rsidR="001500B1" w:rsidRPr="00D25785" w:rsidRDefault="001500B1" w:rsidP="009A5046">
            <w:pPr>
              <w:spacing w:after="16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Severe delays (43 – 66 months): 41.8% – 94.5%</w:t>
            </w:r>
          </w:p>
          <w:p w14:paraId="7BDD051B" w14:textId="77777777" w:rsidR="001500B1" w:rsidRPr="00D25785" w:rsidRDefault="001500B1" w:rsidP="009A5046">
            <w:pPr>
              <w:spacing w:after="16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Moderate-to-severe delays (43 – 66 months): 17.1% – 70.8%</w:t>
            </w:r>
          </w:p>
        </w:tc>
        <w:tc>
          <w:tcPr>
            <w:tcW w:w="1755" w:type="dxa"/>
          </w:tcPr>
          <w:p w14:paraId="6919C87A" w14:textId="77777777" w:rsidR="001500B1" w:rsidRPr="00D25785" w:rsidRDefault="001500B1" w:rsidP="009A5046">
            <w:pPr>
              <w:spacing w:after="16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0 – 42 months: 80.3 – 86.9%</w:t>
            </w:r>
          </w:p>
          <w:p w14:paraId="1D2CF146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43 – 66 months: 70.2% - 85.4%</w:t>
            </w:r>
          </w:p>
        </w:tc>
        <w:tc>
          <w:tcPr>
            <w:tcW w:w="1476" w:type="dxa"/>
          </w:tcPr>
          <w:p w14:paraId="6030D50E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C6A76FE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B1" w:rsidRPr="007D6140" w14:paraId="1DF29DDC" w14:textId="77777777" w:rsidTr="009A5046">
        <w:tc>
          <w:tcPr>
            <w:tcW w:w="1491" w:type="dxa"/>
            <w:vMerge/>
          </w:tcPr>
          <w:p w14:paraId="2CD2FFCA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5ABA620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785">
              <w:rPr>
                <w:rFonts w:ascii="Times New Roman" w:hAnsi="Times New Roman"/>
                <w:sz w:val="20"/>
                <w:szCs w:val="20"/>
              </w:rPr>
              <w:t>Maleka</w:t>
            </w:r>
            <w:proofErr w:type="spellEnd"/>
            <w:r w:rsidRPr="00D25785">
              <w:rPr>
                <w:rFonts w:ascii="Times New Roman" w:hAnsi="Times New Roman"/>
                <w:sz w:val="20"/>
                <w:szCs w:val="20"/>
              </w:rPr>
              <w:t xml:space="preserve"> et al., 2016</w:t>
            </w:r>
          </w:p>
        </w:tc>
        <w:tc>
          <w:tcPr>
            <w:tcW w:w="1778" w:type="dxa"/>
          </w:tcPr>
          <w:p w14:paraId="1510E6E1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47603A1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7612AC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12B752DD" w14:textId="77777777" w:rsidR="001500B1" w:rsidRPr="00D25785" w:rsidRDefault="001500B1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785">
              <w:rPr>
                <w:rFonts w:ascii="Times New Roman" w:hAnsi="Times New Roman"/>
                <w:sz w:val="20"/>
                <w:szCs w:val="20"/>
              </w:rPr>
              <w:t>Cohen’s Kappa: .87 - .96</w:t>
            </w:r>
          </w:p>
        </w:tc>
      </w:tr>
    </w:tbl>
    <w:p w14:paraId="7F9ED5E3" w14:textId="77777777" w:rsidR="001500B1" w:rsidRDefault="001500B1" w:rsidP="001500B1"/>
    <w:p w14:paraId="61AB3E16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B1"/>
    <w:rsid w:val="00112EDB"/>
    <w:rsid w:val="001500B1"/>
    <w:rsid w:val="00154318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6FB9D"/>
  <w15:chartTrackingRefBased/>
  <w15:docId w15:val="{CE51FF4F-A0D2-4B2B-9957-05ACB63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1500B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2022-02-10T12:24:00Z</dcterms:created>
  <dcterms:modified xsi:type="dcterms:W3CDTF">2022-02-10T12:24:00Z</dcterms:modified>
</cp:coreProperties>
</file>