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344" w:rsidRPr="007F05C2" w:rsidRDefault="003B5344" w:rsidP="003B5344">
      <w:pPr>
        <w:spacing w:line="360" w:lineRule="auto"/>
        <w:ind w:left="60"/>
        <w:contextualSpacing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FE599F" w:rsidRDefault="003B5344" w:rsidP="00A100D9">
      <w:pPr>
        <w:pStyle w:val="Dedication"/>
        <w:jc w:val="left"/>
        <w:rPr>
          <w:color w:val="000000" w:themeColor="text1"/>
        </w:rPr>
      </w:pPr>
      <w:bookmarkStart w:id="0" w:name="_Toc86323873"/>
      <w:r w:rsidRPr="007F05C2">
        <w:rPr>
          <w:color w:val="000000" w:themeColor="text1"/>
        </w:rPr>
        <w:t>List of tables</w:t>
      </w:r>
      <w:bookmarkEnd w:id="0"/>
    </w:p>
    <w:p w:rsidR="003B5344" w:rsidRPr="00A100D9" w:rsidRDefault="00FE599F" w:rsidP="00410293">
      <w:pPr>
        <w:pStyle w:val="Dedication"/>
        <w:spacing w:line="360" w:lineRule="auto"/>
        <w:jc w:val="both"/>
        <w:rPr>
          <w:color w:val="000000" w:themeColor="text1"/>
        </w:rPr>
      </w:pPr>
      <w:r>
        <w:rPr>
          <w:b w:val="0"/>
          <w:color w:val="000000" w:themeColor="text1"/>
        </w:rPr>
        <w:t>This table 4.1 provides information of the participants of the study, they have assisted in sharing their experiences as part of data collection.</w:t>
      </w:r>
      <w:r w:rsidR="00E4681E">
        <w:rPr>
          <w:b w:val="0"/>
          <w:color w:val="000000" w:themeColor="text1"/>
        </w:rPr>
        <w:t xml:space="preserve"> There are three participants group that were selected to be part of the study, teachers, deaf learners and their hearing parents.</w:t>
      </w:r>
      <w:r w:rsidR="003B5344" w:rsidRPr="007F05C2">
        <w:rPr>
          <w:rFonts w:eastAsiaTheme="minorEastAsia" w:cstheme="minorBidi"/>
          <w:color w:val="000000" w:themeColor="text1"/>
          <w:szCs w:val="22"/>
          <w:lang w:eastAsia="en-GB"/>
        </w:rPr>
        <w:fldChar w:fldCharType="begin"/>
      </w:r>
      <w:r w:rsidR="003B5344" w:rsidRPr="007F05C2">
        <w:rPr>
          <w:color w:val="000000" w:themeColor="text1"/>
        </w:rPr>
        <w:instrText xml:space="preserve"> TOC \h \z \t "Table,8" </w:instrText>
      </w:r>
      <w:r w:rsidR="003B5344" w:rsidRPr="007F05C2">
        <w:rPr>
          <w:rFonts w:eastAsiaTheme="minorEastAsia" w:cstheme="minorBidi"/>
          <w:color w:val="000000" w:themeColor="text1"/>
          <w:szCs w:val="22"/>
          <w:lang w:eastAsia="en-GB"/>
        </w:rPr>
        <w:fldChar w:fldCharType="separate"/>
      </w:r>
    </w:p>
    <w:p w:rsidR="003B5344" w:rsidRPr="007F05C2" w:rsidRDefault="003B5344" w:rsidP="00410293">
      <w:pPr>
        <w:pStyle w:val="Table"/>
        <w:spacing w:line="360" w:lineRule="auto"/>
        <w:rPr>
          <w:b w:val="0"/>
          <w:bCs/>
          <w:color w:val="000000" w:themeColor="text1"/>
        </w:rPr>
      </w:pPr>
      <w:bookmarkStart w:id="1" w:name="_Toc86324044"/>
      <w:r w:rsidRPr="007F05C2">
        <w:rPr>
          <w:color w:val="000000" w:themeColor="text1"/>
        </w:rPr>
        <w:t xml:space="preserve">Table 4.1: </w:t>
      </w:r>
      <w:r w:rsidRPr="007F05C2">
        <w:rPr>
          <w:b w:val="0"/>
          <w:bCs/>
          <w:color w:val="000000" w:themeColor="text1"/>
        </w:rPr>
        <w:t>Background information of the participants</w:t>
      </w:r>
      <w:bookmarkEnd w:id="1"/>
    </w:p>
    <w:tbl>
      <w:tblPr>
        <w:tblStyle w:val="TableGrid"/>
        <w:tblW w:w="5046" w:type="pct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6"/>
        <w:gridCol w:w="1164"/>
        <w:gridCol w:w="1057"/>
        <w:gridCol w:w="1946"/>
        <w:gridCol w:w="2346"/>
      </w:tblGrid>
      <w:tr w:rsidR="003B5344" w:rsidRPr="007F05C2" w:rsidTr="00490876">
        <w:trPr>
          <w:trHeight w:val="340"/>
        </w:trPr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Participant group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Gender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Age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Abbreviation used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Experience</w:t>
            </w: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Teachers - T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76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Years of teaching</w:t>
            </w: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Teacher A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Early 50s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30</w:t>
            </w: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Teacher B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Early 40s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TB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15</w:t>
            </w: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Teacher C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Early 30s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TC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Teacher D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Late 30s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TD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10</w:t>
            </w: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Teacher E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Late 40s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TE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23</w:t>
            </w: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Teacher F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Early 30s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TF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</w:t>
            </w: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Parents - H</w:t>
            </w:r>
          </w:p>
        </w:tc>
        <w:tc>
          <w:tcPr>
            <w:tcW w:w="1178" w:type="dxa"/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76" w:type="dxa"/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N/A</w:t>
            </w: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Parent-A 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Late 40s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HP-A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Parent-B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Late 40s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HP-B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Parent-C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Late 30s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HP-C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Parent-D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Late 60’s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HP-D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Parent-E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Late 30s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HP-E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Parent-F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Late 50s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HP-F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Learners - L</w:t>
            </w:r>
          </w:p>
        </w:tc>
        <w:tc>
          <w:tcPr>
            <w:tcW w:w="1178" w:type="dxa"/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070" w:type="dxa"/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376" w:type="dxa"/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Grade</w:t>
            </w: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Learner A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12 years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Learner B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13 years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LB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Learner C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13 years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LC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Learner E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13 years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LD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Learner D</w:t>
            </w:r>
          </w:p>
        </w:tc>
        <w:tc>
          <w:tcPr>
            <w:tcW w:w="1178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070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14 years</w:t>
            </w:r>
          </w:p>
        </w:tc>
        <w:tc>
          <w:tcPr>
            <w:tcW w:w="1971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LE</w:t>
            </w:r>
          </w:p>
        </w:tc>
        <w:tc>
          <w:tcPr>
            <w:tcW w:w="2376" w:type="dxa"/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</w:tr>
      <w:tr w:rsidR="003B5344" w:rsidRPr="007F05C2" w:rsidTr="00490876">
        <w:trPr>
          <w:trHeight w:val="283"/>
        </w:trPr>
        <w:tc>
          <w:tcPr>
            <w:tcW w:w="2630" w:type="dxa"/>
            <w:tcBorders>
              <w:bottom w:val="single" w:sz="4" w:space="0" w:color="auto"/>
            </w:tcBorders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Learners F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3B5344" w:rsidRPr="007F05C2" w:rsidRDefault="003B5344" w:rsidP="00410293">
            <w:pPr>
              <w:pStyle w:val="ListParagraph"/>
              <w:spacing w:line="360" w:lineRule="auto"/>
              <w:ind w:left="113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Male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14 years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LF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3B5344" w:rsidRPr="007F05C2" w:rsidRDefault="003B5344" w:rsidP="00410293">
            <w:pPr>
              <w:pStyle w:val="ListParagraph"/>
              <w:spacing w:line="360" w:lineRule="auto"/>
              <w:ind w:left="0"/>
              <w:contextualSpacing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</w:tr>
    </w:tbl>
    <w:p w:rsidR="003B5344" w:rsidRPr="003B5344" w:rsidRDefault="003B5344" w:rsidP="00410293">
      <w:pPr>
        <w:spacing w:line="360" w:lineRule="auto"/>
        <w:rPr>
          <w:lang w:val="en-GB" w:eastAsia="en-GB"/>
        </w:rPr>
      </w:pPr>
    </w:p>
    <w:p w:rsidR="00B92F13" w:rsidRDefault="00B92F13" w:rsidP="00410293">
      <w:pPr>
        <w:pStyle w:val="TOC8"/>
        <w:tabs>
          <w:tab w:val="right" w:leader="dot" w:pos="9016"/>
        </w:tabs>
        <w:spacing w:line="360" w:lineRule="auto"/>
        <w:jc w:val="both"/>
        <w:rPr>
          <w:noProof/>
          <w:sz w:val="24"/>
          <w:szCs w:val="24"/>
        </w:rPr>
      </w:pPr>
    </w:p>
    <w:p w:rsidR="00B92F13" w:rsidRDefault="00B92F13" w:rsidP="00410293">
      <w:pPr>
        <w:pStyle w:val="TOC8"/>
        <w:tabs>
          <w:tab w:val="right" w:leader="dot" w:pos="9016"/>
        </w:tabs>
        <w:spacing w:line="360" w:lineRule="auto"/>
        <w:jc w:val="both"/>
        <w:rPr>
          <w:noProof/>
          <w:sz w:val="24"/>
          <w:szCs w:val="24"/>
        </w:rPr>
      </w:pPr>
    </w:p>
    <w:p w:rsidR="00B92F13" w:rsidRDefault="00B92F13" w:rsidP="00410293">
      <w:pPr>
        <w:pStyle w:val="TOC8"/>
        <w:tabs>
          <w:tab w:val="right" w:leader="dot" w:pos="9016"/>
        </w:tabs>
        <w:spacing w:line="360" w:lineRule="auto"/>
        <w:jc w:val="both"/>
        <w:rPr>
          <w:noProof/>
          <w:sz w:val="24"/>
          <w:szCs w:val="24"/>
        </w:rPr>
      </w:pPr>
    </w:p>
    <w:p w:rsidR="00B92F13" w:rsidRDefault="00B92F13" w:rsidP="00410293">
      <w:pPr>
        <w:pStyle w:val="TOC8"/>
        <w:tabs>
          <w:tab w:val="right" w:leader="dot" w:pos="9016"/>
        </w:tabs>
        <w:spacing w:line="360" w:lineRule="auto"/>
        <w:jc w:val="both"/>
        <w:rPr>
          <w:noProof/>
          <w:sz w:val="24"/>
          <w:szCs w:val="24"/>
        </w:rPr>
      </w:pPr>
    </w:p>
    <w:p w:rsidR="003B5344" w:rsidRPr="00FE599F" w:rsidRDefault="00FE599F" w:rsidP="00410293">
      <w:pPr>
        <w:pStyle w:val="TOC8"/>
        <w:tabs>
          <w:tab w:val="right" w:leader="dot" w:pos="9016"/>
        </w:tabs>
        <w:spacing w:line="360" w:lineRule="auto"/>
        <w:jc w:val="both"/>
        <w:rPr>
          <w:noProof/>
          <w:sz w:val="24"/>
          <w:szCs w:val="24"/>
        </w:rPr>
      </w:pPr>
      <w:r w:rsidRPr="00FE599F">
        <w:rPr>
          <w:noProof/>
          <w:sz w:val="24"/>
          <w:szCs w:val="24"/>
        </w:rPr>
        <w:lastRenderedPageBreak/>
        <w:t>Table 4.2 represents</w:t>
      </w:r>
      <w:r>
        <w:rPr>
          <w:noProof/>
          <w:sz w:val="24"/>
          <w:szCs w:val="24"/>
        </w:rPr>
        <w:t xml:space="preserve"> </w:t>
      </w:r>
      <w:r w:rsidRPr="00FE599F">
        <w:rPr>
          <w:noProof/>
          <w:sz w:val="24"/>
          <w:szCs w:val="24"/>
        </w:rPr>
        <w:t xml:space="preserve">the observation </w:t>
      </w:r>
      <w:r>
        <w:rPr>
          <w:noProof/>
          <w:sz w:val="24"/>
          <w:szCs w:val="24"/>
        </w:rPr>
        <w:t>schedule that was follo</w:t>
      </w:r>
      <w:r w:rsidR="00EA2EA8">
        <w:rPr>
          <w:noProof/>
          <w:sz w:val="24"/>
          <w:szCs w:val="24"/>
        </w:rPr>
        <w:t>wed at the site school for the d</w:t>
      </w:r>
      <w:r>
        <w:rPr>
          <w:noProof/>
          <w:sz w:val="24"/>
          <w:szCs w:val="24"/>
        </w:rPr>
        <w:t>eaf during data collection.</w:t>
      </w:r>
    </w:p>
    <w:p w:rsidR="003B5344" w:rsidRPr="007F05C2" w:rsidRDefault="003B5344" w:rsidP="00410293">
      <w:pPr>
        <w:pStyle w:val="Table"/>
        <w:spacing w:line="360" w:lineRule="auto"/>
        <w:rPr>
          <w:color w:val="000000" w:themeColor="text1"/>
        </w:rPr>
      </w:pPr>
      <w:bookmarkStart w:id="2" w:name="_Toc86324045"/>
      <w:r w:rsidRPr="007F05C2">
        <w:rPr>
          <w:color w:val="000000" w:themeColor="text1"/>
        </w:rPr>
        <w:t xml:space="preserve">Table 4.2: </w:t>
      </w:r>
      <w:r w:rsidRPr="007F05C2">
        <w:rPr>
          <w:b w:val="0"/>
          <w:bCs/>
          <w:color w:val="000000" w:themeColor="text1"/>
        </w:rPr>
        <w:t>Observation schedule</w:t>
      </w:r>
      <w:bookmarkEnd w:id="2"/>
    </w:p>
    <w:tbl>
      <w:tblPr>
        <w:tblW w:w="500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8"/>
        <w:gridCol w:w="58"/>
        <w:gridCol w:w="31"/>
        <w:gridCol w:w="47"/>
        <w:gridCol w:w="793"/>
        <w:gridCol w:w="1120"/>
        <w:gridCol w:w="1540"/>
        <w:gridCol w:w="1959"/>
        <w:gridCol w:w="2107"/>
        <w:gridCol w:w="13"/>
      </w:tblGrid>
      <w:tr w:rsidR="003B5344" w:rsidRPr="007F05C2" w:rsidTr="00490876">
        <w:trPr>
          <w:trHeight w:val="340"/>
        </w:trPr>
        <w:tc>
          <w:tcPr>
            <w:tcW w:w="914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  <w:lang w:val="en-GB"/>
              </w:rPr>
              <w:t>SITE: School for the Deaf Grade 6</w:t>
            </w:r>
          </w:p>
        </w:tc>
      </w:tr>
      <w:tr w:rsidR="003B5344" w:rsidRPr="007F05C2" w:rsidTr="00490876">
        <w:trPr>
          <w:gridAfter w:val="1"/>
          <w:wAfter w:w="13" w:type="dxa"/>
          <w:trHeight w:val="340"/>
        </w:trPr>
        <w:tc>
          <w:tcPr>
            <w:tcW w:w="15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5344" w:rsidRPr="007F05C2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Teacher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No. of learners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Duration of lesson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5344" w:rsidRPr="007F05C2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Source of data used</w:t>
            </w:r>
          </w:p>
        </w:tc>
      </w:tr>
      <w:tr w:rsidR="003B5344" w:rsidRPr="007F05C2" w:rsidTr="00490876">
        <w:trPr>
          <w:trHeight w:val="283"/>
        </w:trPr>
        <w:tc>
          <w:tcPr>
            <w:tcW w:w="6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Lesson taught: Describing materials (NS/Tech)</w:t>
            </w:r>
          </w:p>
        </w:tc>
        <w:tc>
          <w:tcPr>
            <w:tcW w:w="21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Lesson observation checklist (OBS)</w:t>
            </w:r>
          </w:p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Field notes (FN)</w:t>
            </w:r>
          </w:p>
        </w:tc>
      </w:tr>
      <w:tr w:rsidR="003B5344" w:rsidRPr="007F05C2" w:rsidTr="00490876">
        <w:trPr>
          <w:trHeight w:val="283"/>
        </w:trPr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344" w:rsidRPr="007F05C2" w:rsidRDefault="003B5344" w:rsidP="00410293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18/09/2020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11:00–11:20</w:t>
            </w:r>
          </w:p>
        </w:tc>
        <w:tc>
          <w:tcPr>
            <w:tcW w:w="21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7F05C2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B5344" w:rsidRPr="007F05C2" w:rsidTr="00490876">
        <w:trPr>
          <w:trHeight w:val="283"/>
        </w:trPr>
        <w:tc>
          <w:tcPr>
            <w:tcW w:w="6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Lesson taught: Addition (Mathematics)</w:t>
            </w:r>
          </w:p>
        </w:tc>
        <w:tc>
          <w:tcPr>
            <w:tcW w:w="21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3B5344" w:rsidRPr="007F05C2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B5344" w:rsidRPr="007F05C2" w:rsidTr="00490876">
        <w:trPr>
          <w:trHeight w:val="283"/>
        </w:trPr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344" w:rsidRPr="007F05C2" w:rsidRDefault="003B5344" w:rsidP="00410293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18/09/2020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11:20–11:40</w:t>
            </w:r>
          </w:p>
        </w:tc>
        <w:tc>
          <w:tcPr>
            <w:tcW w:w="21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7F05C2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B5344" w:rsidRPr="007F05C2" w:rsidTr="00490876">
        <w:trPr>
          <w:trHeight w:val="283"/>
        </w:trPr>
        <w:tc>
          <w:tcPr>
            <w:tcW w:w="6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57" w:type="dxa"/>
            </w:tcMar>
          </w:tcPr>
          <w:p w:rsidR="003B5344" w:rsidRPr="007F05C2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Lesson taught: Ancient African-Egypt Society (SS)</w:t>
            </w:r>
          </w:p>
        </w:tc>
        <w:tc>
          <w:tcPr>
            <w:tcW w:w="21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</w:tcMar>
          </w:tcPr>
          <w:p w:rsidR="003B5344" w:rsidRPr="007F05C2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3B5344" w:rsidRPr="007F05C2" w:rsidTr="00490876">
        <w:trPr>
          <w:trHeight w:val="283"/>
        </w:trPr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44" w:rsidRPr="007F05C2" w:rsidRDefault="003B5344" w:rsidP="00410293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18/09/2020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344" w:rsidRPr="007F05C2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7F05C2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11:40–12:15</w:t>
            </w:r>
          </w:p>
        </w:tc>
        <w:tc>
          <w:tcPr>
            <w:tcW w:w="21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344" w:rsidRPr="007F05C2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:rsidR="003B5344" w:rsidRDefault="003B5344" w:rsidP="00410293">
      <w:pPr>
        <w:spacing w:line="360" w:lineRule="auto"/>
        <w:rPr>
          <w:color w:val="000000" w:themeColor="text1"/>
          <w:lang w:val="en-GB"/>
        </w:rPr>
      </w:pPr>
    </w:p>
    <w:p w:rsidR="003B5344" w:rsidRDefault="003B5344" w:rsidP="00410293">
      <w:pPr>
        <w:pStyle w:val="TOC8"/>
        <w:tabs>
          <w:tab w:val="right" w:leader="dot" w:pos="9016"/>
        </w:tabs>
        <w:spacing w:line="360" w:lineRule="auto"/>
        <w:rPr>
          <w:noProof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rPr>
          <w:lang w:val="en-GB" w:eastAsia="en-GB"/>
        </w:rPr>
      </w:pPr>
    </w:p>
    <w:p w:rsidR="00015500" w:rsidRPr="00015500" w:rsidRDefault="00015500" w:rsidP="00015500">
      <w:pPr>
        <w:rPr>
          <w:lang w:val="en-GB" w:eastAsia="en-GB"/>
        </w:rPr>
      </w:pPr>
    </w:p>
    <w:p w:rsidR="00015500" w:rsidRDefault="00015500" w:rsidP="00015500">
      <w:pPr>
        <w:spacing w:after="6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  <w:bookmarkStart w:id="3" w:name="_Toc86324046"/>
      <w:r>
        <w:rPr>
          <w:rFonts w:ascii="Arial" w:hAnsi="Arial" w:cs="Arial"/>
          <w:color w:val="000000" w:themeColor="text1"/>
          <w:sz w:val="24"/>
          <w:szCs w:val="24"/>
          <w:lang w:val="en-GB"/>
        </w:rPr>
        <w:lastRenderedPageBreak/>
        <w:t>This table represents the outline of themes and sub-themes that emerged from the data collected, these themes were discovered through inductive thematic analysis.</w:t>
      </w:r>
      <w:r w:rsidR="00835E54" w:rsidRPr="00835E54">
        <w:t xml:space="preserve"> </w:t>
      </w:r>
      <w:r w:rsidR="00835E54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Theme 1 represents </w:t>
      </w:r>
      <w:r w:rsidR="00835E54" w:rsidRPr="00835E54">
        <w:rPr>
          <w:rFonts w:ascii="Arial" w:hAnsi="Arial" w:cs="Arial"/>
          <w:color w:val="000000" w:themeColor="text1"/>
          <w:sz w:val="24"/>
          <w:szCs w:val="24"/>
          <w:lang w:val="en-GB"/>
        </w:rPr>
        <w:t>Hearing parents’ journey of discovery rega</w:t>
      </w:r>
      <w:r w:rsidR="00835E54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rding their children’s deafness, Theme 2 represents </w:t>
      </w:r>
      <w:r w:rsidR="00835E54" w:rsidRPr="00835E54">
        <w:rPr>
          <w:rFonts w:ascii="Arial" w:hAnsi="Arial" w:cs="Arial"/>
          <w:color w:val="000000" w:themeColor="text1"/>
          <w:sz w:val="24"/>
          <w:szCs w:val="24"/>
          <w:lang w:val="en-GB"/>
        </w:rPr>
        <w:t>Factors influencing the acquisition of Sou</w:t>
      </w:r>
      <w:r w:rsidR="00835E54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 African sign language (SASL) Theme 3 represents the </w:t>
      </w:r>
      <w:r w:rsidR="00835E54" w:rsidRPr="00835E54">
        <w:rPr>
          <w:rFonts w:ascii="Arial" w:hAnsi="Arial" w:cs="Arial"/>
          <w:color w:val="000000" w:themeColor="text1"/>
          <w:sz w:val="24"/>
          <w:szCs w:val="24"/>
          <w:lang w:val="en-GB"/>
        </w:rPr>
        <w:t>Impact of hearing parents’ support of their deaf children’s use a</w:t>
      </w:r>
      <w:r w:rsidR="00835E54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nd acquisition of SASL at home, Theme 4 represents the </w:t>
      </w:r>
      <w:r w:rsidR="00835E54" w:rsidRPr="00835E54">
        <w:rPr>
          <w:rFonts w:ascii="Arial" w:hAnsi="Arial" w:cs="Arial"/>
          <w:color w:val="000000" w:themeColor="text1"/>
          <w:sz w:val="24"/>
          <w:szCs w:val="24"/>
          <w:lang w:val="en-GB"/>
        </w:rPr>
        <w:t>Barriers to effective learning of SASL</w:t>
      </w:r>
      <w:r w:rsidR="00835E54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and the final is Theme 5that represents the </w:t>
      </w:r>
      <w:r w:rsidR="00835E54" w:rsidRPr="00835E54">
        <w:rPr>
          <w:rFonts w:ascii="Arial" w:hAnsi="Arial" w:cs="Arial"/>
          <w:color w:val="000000" w:themeColor="text1"/>
          <w:sz w:val="24"/>
          <w:szCs w:val="24"/>
          <w:lang w:val="en-GB"/>
        </w:rPr>
        <w:t>strategie</w:t>
      </w:r>
      <w:r w:rsidR="00835E54">
        <w:rPr>
          <w:rFonts w:ascii="Arial" w:hAnsi="Arial" w:cs="Arial"/>
          <w:color w:val="000000" w:themeColor="text1"/>
          <w:sz w:val="24"/>
          <w:szCs w:val="24"/>
          <w:lang w:val="en-GB"/>
        </w:rPr>
        <w:t>s used to support deaf learners to acquire SASL.</w:t>
      </w:r>
    </w:p>
    <w:p w:rsidR="008053F2" w:rsidRPr="00015500" w:rsidRDefault="008053F2" w:rsidP="00015500">
      <w:pPr>
        <w:spacing w:after="6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:rsidR="003B5344" w:rsidRPr="003B5344" w:rsidRDefault="003B5344" w:rsidP="00410293">
      <w:pPr>
        <w:spacing w:after="60"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3B5344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Table 4.3: </w:t>
      </w:r>
      <w:r w:rsidRPr="003B5344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Outline of themes and sub-themes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484"/>
        <w:gridCol w:w="4770"/>
      </w:tblGrid>
      <w:tr w:rsidR="003B5344" w:rsidRPr="003B5344" w:rsidTr="00490876">
        <w:trPr>
          <w:trHeight w:val="20"/>
        </w:trPr>
        <w:tc>
          <w:tcPr>
            <w:tcW w:w="9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Section 1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Theme 1</w:t>
            </w:r>
          </w:p>
        </w:tc>
        <w:tc>
          <w:tcPr>
            <w:tcW w:w="5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Sub-themes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Hearing parents’ journey of discovery regarding their children’s deafness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1.1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The age of discovery of a child’s deafness 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1.2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Seeking health professionals’ assistance.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1.3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Denial of deafness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Theme 2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Sub-themes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Factors influencing the acquisition of South African sign language (SASL)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2.1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Language and communication barriers.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2.2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Family background of deafness and SASL.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2.3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Social interaction using SASL.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Theme 3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Sub-themes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Impact of hearing parents’ support of their deaf children’s use and acquisition of SASL at home 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3.1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Parents training in SASL by the school for the deaf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3.2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Assisting deaf children with homework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3.3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Television programmes and interpretation support given by hearing parents</w:t>
            </w:r>
          </w:p>
        </w:tc>
      </w:tr>
      <w:tr w:rsidR="003B5344" w:rsidRPr="003B5344" w:rsidTr="00490876">
        <w:trPr>
          <w:trHeight w:val="20"/>
        </w:trPr>
        <w:tc>
          <w:tcPr>
            <w:tcW w:w="9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Section 2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Theme 4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Sub-themes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Barriers to effective learning of SASL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4.1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Teaching deaf learners without an SASL background 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4.2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Teachers’ barriers when teaching SASL.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Theme 5</w:t>
            </w: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Sub-themes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strategies used to support deaf learners</w:t>
            </w: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br w:type="textWrapping" w:clear="all"/>
              <w:t>to acquire SASL</w:t>
            </w:r>
          </w:p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5.1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The use of visuals and technological devices in teaching deaf learners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5.2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Providing extra bridging classes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5.3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Offering expanded opportunities and one-on-one sessions</w:t>
            </w:r>
          </w:p>
        </w:tc>
      </w:tr>
      <w:tr w:rsidR="003B5344" w:rsidRPr="003B5344" w:rsidTr="00490876">
        <w:trPr>
          <w:trHeight w:val="20"/>
        </w:trPr>
        <w:tc>
          <w:tcPr>
            <w:tcW w:w="38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5.4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5344" w:rsidRPr="003B5344" w:rsidRDefault="003B5344" w:rsidP="00410293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3B5344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The use of total communication according to a child’s level of understanding</w:t>
            </w:r>
          </w:p>
        </w:tc>
      </w:tr>
    </w:tbl>
    <w:p w:rsidR="003B5344" w:rsidRDefault="003B5344" w:rsidP="00410293">
      <w:pPr>
        <w:spacing w:after="360"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:rsidR="003B5344" w:rsidRDefault="003B5344" w:rsidP="00410293">
      <w:pPr>
        <w:pStyle w:val="TOC8"/>
        <w:tabs>
          <w:tab w:val="right" w:leader="dot" w:pos="9016"/>
        </w:tabs>
        <w:spacing w:line="360" w:lineRule="auto"/>
        <w:rPr>
          <w:noProof/>
        </w:rPr>
      </w:pPr>
    </w:p>
    <w:p w:rsidR="00724156" w:rsidRPr="00724156" w:rsidRDefault="00724156" w:rsidP="00410293">
      <w:pPr>
        <w:spacing w:after="60"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bookmarkStart w:id="4" w:name="_Toc86324047"/>
      <w:r w:rsidRPr="00724156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THEME 1</w:t>
      </w:r>
    </w:p>
    <w:p w:rsidR="009E1811" w:rsidRPr="00724156" w:rsidRDefault="00724156" w:rsidP="00410293">
      <w:pPr>
        <w:spacing w:after="60"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This table represents the inclusion and exclusion criteria for theme 1 of hearing parents' journey of discovery regarding their children’s' deafness with it sub-themes, on how data was separated in order to separate relevant and irrelevant data. </w:t>
      </w:r>
    </w:p>
    <w:p w:rsidR="00A100D9" w:rsidRPr="00A100D9" w:rsidRDefault="00A100D9" w:rsidP="00410293">
      <w:pPr>
        <w:spacing w:after="6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A100D9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Table 4.4: </w:t>
      </w:r>
      <w:r w:rsidRPr="00A100D9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Inclusion and exclusion criteria for theme 1 with its sub-themes</w:t>
      </w:r>
      <w:bookmarkEnd w:id="4"/>
    </w:p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9"/>
        <w:gridCol w:w="3008"/>
        <w:gridCol w:w="3009"/>
      </w:tblGrid>
      <w:tr w:rsidR="00A100D9" w:rsidRPr="00A100D9" w:rsidTr="00490876">
        <w:trPr>
          <w:trHeight w:val="397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A100D9" w:rsidRPr="00A100D9" w:rsidRDefault="00A100D9" w:rsidP="00410293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A100D9">
              <w:rPr>
                <w:rFonts w:cs="Arial"/>
                <w:b/>
                <w:bCs/>
                <w:color w:val="000000" w:themeColor="text1"/>
                <w:szCs w:val="20"/>
              </w:rPr>
              <w:t>Hearing parents’ journey of discovery regarding their children’s deafness</w:t>
            </w:r>
          </w:p>
        </w:tc>
      </w:tr>
      <w:tr w:rsidR="00A100D9" w:rsidRPr="00A100D9" w:rsidTr="00490876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A100D9">
              <w:rPr>
                <w:rFonts w:cs="Arial"/>
                <w:b/>
                <w:bCs/>
                <w:color w:val="000000" w:themeColor="text1"/>
                <w:szCs w:val="20"/>
              </w:rPr>
              <w:t>Sub-themes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A100D9">
              <w:rPr>
                <w:rFonts w:cs="Arial"/>
                <w:b/>
                <w:bCs/>
                <w:color w:val="000000" w:themeColor="text1"/>
                <w:szCs w:val="20"/>
              </w:rPr>
              <w:t>Inclusion criteria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A100D9">
              <w:rPr>
                <w:rFonts w:cs="Arial"/>
                <w:b/>
                <w:bCs/>
                <w:color w:val="000000" w:themeColor="text1"/>
                <w:szCs w:val="20"/>
              </w:rPr>
              <w:t>Exclusion criteria</w:t>
            </w:r>
          </w:p>
        </w:tc>
      </w:tr>
      <w:tr w:rsidR="00A100D9" w:rsidRPr="00A100D9" w:rsidTr="00490876">
        <w:trPr>
          <w:trHeight w:val="283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A100D9">
              <w:rPr>
                <w:rFonts w:cs="Arial"/>
                <w:color w:val="000000" w:themeColor="text1"/>
                <w:szCs w:val="20"/>
              </w:rPr>
              <w:t>1.1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A100D9" w:rsidRPr="00A100D9" w:rsidTr="00490876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A100D9">
              <w:rPr>
                <w:rFonts w:cs="Arial"/>
                <w:color w:val="000000" w:themeColor="text1"/>
                <w:szCs w:val="20"/>
              </w:rPr>
              <w:t>The age of discovery of a child’s deafness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A100D9">
              <w:rPr>
                <w:rFonts w:cs="Arial"/>
                <w:color w:val="000000" w:themeColor="text1"/>
                <w:szCs w:val="20"/>
              </w:rPr>
              <w:t>Information on age discovery of deafness to the child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A100D9">
              <w:rPr>
                <w:rFonts w:cs="Arial"/>
                <w:color w:val="000000" w:themeColor="text1"/>
                <w:szCs w:val="20"/>
              </w:rPr>
              <w:t>Information not relevant to age of discovery</w:t>
            </w:r>
          </w:p>
        </w:tc>
      </w:tr>
      <w:tr w:rsidR="00A100D9" w:rsidRPr="00A100D9" w:rsidTr="00490876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A100D9">
              <w:rPr>
                <w:rFonts w:cs="Arial"/>
                <w:color w:val="000000" w:themeColor="text1"/>
                <w:szCs w:val="20"/>
              </w:rPr>
              <w:t>1.2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A100D9" w:rsidRPr="00A100D9" w:rsidTr="00490876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A100D9">
              <w:rPr>
                <w:rFonts w:cs="Arial"/>
                <w:color w:val="000000" w:themeColor="text1"/>
                <w:szCs w:val="20"/>
              </w:rPr>
              <w:t>Seeking health professionals’ assistance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A100D9">
              <w:rPr>
                <w:rFonts w:cs="Arial"/>
                <w:color w:val="000000" w:themeColor="text1"/>
                <w:szCs w:val="20"/>
              </w:rPr>
              <w:t>Information related to the diagnosis of deafness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A100D9">
              <w:rPr>
                <w:rFonts w:cs="Arial"/>
                <w:color w:val="000000" w:themeColor="text1"/>
                <w:szCs w:val="20"/>
              </w:rPr>
              <w:t>Information not relevant to the diagnosis of deafness</w:t>
            </w:r>
          </w:p>
        </w:tc>
      </w:tr>
      <w:tr w:rsidR="00A100D9" w:rsidRPr="00A100D9" w:rsidTr="00490876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A100D9">
              <w:rPr>
                <w:rFonts w:cs="Arial"/>
                <w:color w:val="000000" w:themeColor="text1"/>
                <w:szCs w:val="20"/>
              </w:rPr>
              <w:t>1.3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A100D9" w:rsidRPr="00A100D9" w:rsidTr="00490876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A100D9">
              <w:rPr>
                <w:rFonts w:cs="Arial"/>
                <w:color w:val="000000" w:themeColor="text1"/>
                <w:szCs w:val="20"/>
              </w:rPr>
              <w:t>Denial of deafness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A100D9">
              <w:rPr>
                <w:rFonts w:cs="Arial"/>
                <w:color w:val="000000" w:themeColor="text1"/>
                <w:szCs w:val="20"/>
              </w:rPr>
              <w:t>Information with regard to denial of deafness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0D9" w:rsidRPr="00A100D9" w:rsidRDefault="00A100D9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A100D9">
              <w:rPr>
                <w:rFonts w:cs="Arial"/>
                <w:color w:val="000000" w:themeColor="text1"/>
                <w:szCs w:val="20"/>
              </w:rPr>
              <w:t>Information not contributing to the denial of deafness</w:t>
            </w:r>
          </w:p>
        </w:tc>
      </w:tr>
    </w:tbl>
    <w:p w:rsidR="00724156" w:rsidRDefault="00724156" w:rsidP="00410293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:rsidR="008053F2" w:rsidRDefault="008053F2" w:rsidP="00410293">
      <w:pPr>
        <w:spacing w:line="360" w:lineRule="auto"/>
        <w:rPr>
          <w:rFonts w:ascii="Arial" w:hAnsi="Arial" w:cs="Arial"/>
          <w:b/>
          <w:lang w:val="en-GB"/>
        </w:rPr>
      </w:pPr>
    </w:p>
    <w:p w:rsidR="008053F2" w:rsidRDefault="008053F2" w:rsidP="00410293">
      <w:pPr>
        <w:spacing w:line="360" w:lineRule="auto"/>
        <w:rPr>
          <w:rFonts w:ascii="Arial" w:hAnsi="Arial" w:cs="Arial"/>
          <w:b/>
          <w:lang w:val="en-GB"/>
        </w:rPr>
      </w:pPr>
    </w:p>
    <w:p w:rsidR="008053F2" w:rsidRDefault="008053F2" w:rsidP="00410293">
      <w:pPr>
        <w:spacing w:line="360" w:lineRule="auto"/>
        <w:rPr>
          <w:rFonts w:ascii="Arial" w:hAnsi="Arial" w:cs="Arial"/>
          <w:b/>
          <w:lang w:val="en-GB"/>
        </w:rPr>
      </w:pPr>
    </w:p>
    <w:p w:rsidR="008053F2" w:rsidRDefault="008053F2" w:rsidP="00410293">
      <w:pPr>
        <w:spacing w:line="360" w:lineRule="auto"/>
        <w:rPr>
          <w:rFonts w:ascii="Arial" w:hAnsi="Arial" w:cs="Arial"/>
          <w:b/>
          <w:lang w:val="en-GB"/>
        </w:rPr>
      </w:pPr>
    </w:p>
    <w:p w:rsidR="008053F2" w:rsidRDefault="008053F2" w:rsidP="00410293">
      <w:pPr>
        <w:spacing w:line="360" w:lineRule="auto"/>
        <w:rPr>
          <w:rFonts w:ascii="Arial" w:hAnsi="Arial" w:cs="Arial"/>
          <w:b/>
          <w:lang w:val="en-GB"/>
        </w:rPr>
      </w:pPr>
    </w:p>
    <w:p w:rsidR="008053F2" w:rsidRDefault="008053F2" w:rsidP="00410293">
      <w:pPr>
        <w:spacing w:line="360" w:lineRule="auto"/>
        <w:rPr>
          <w:rFonts w:ascii="Arial" w:hAnsi="Arial" w:cs="Arial"/>
          <w:b/>
          <w:lang w:val="en-GB"/>
        </w:rPr>
      </w:pPr>
    </w:p>
    <w:p w:rsidR="008053F2" w:rsidRDefault="008053F2" w:rsidP="00410293">
      <w:pPr>
        <w:spacing w:line="360" w:lineRule="auto"/>
        <w:rPr>
          <w:rFonts w:ascii="Arial" w:hAnsi="Arial" w:cs="Arial"/>
          <w:b/>
          <w:lang w:val="en-GB"/>
        </w:rPr>
      </w:pPr>
    </w:p>
    <w:p w:rsidR="008053F2" w:rsidRDefault="008053F2" w:rsidP="00410293">
      <w:pPr>
        <w:spacing w:line="360" w:lineRule="auto"/>
        <w:rPr>
          <w:rFonts w:ascii="Arial" w:hAnsi="Arial" w:cs="Arial"/>
          <w:b/>
          <w:lang w:val="en-GB"/>
        </w:rPr>
      </w:pPr>
    </w:p>
    <w:p w:rsidR="008053F2" w:rsidRDefault="008053F2" w:rsidP="00410293">
      <w:pPr>
        <w:spacing w:line="360" w:lineRule="auto"/>
        <w:rPr>
          <w:rFonts w:ascii="Arial" w:hAnsi="Arial" w:cs="Arial"/>
          <w:b/>
          <w:lang w:val="en-GB"/>
        </w:rPr>
      </w:pPr>
    </w:p>
    <w:p w:rsidR="008053F2" w:rsidRDefault="008053F2" w:rsidP="00410293">
      <w:pPr>
        <w:spacing w:line="360" w:lineRule="auto"/>
        <w:rPr>
          <w:rFonts w:ascii="Arial" w:hAnsi="Arial" w:cs="Arial"/>
          <w:b/>
          <w:lang w:val="en-GB"/>
        </w:rPr>
      </w:pPr>
    </w:p>
    <w:p w:rsidR="008053F2" w:rsidRDefault="008053F2" w:rsidP="00410293">
      <w:pPr>
        <w:spacing w:line="360" w:lineRule="auto"/>
        <w:rPr>
          <w:rFonts w:ascii="Arial" w:hAnsi="Arial" w:cs="Arial"/>
          <w:b/>
          <w:lang w:val="en-GB"/>
        </w:rPr>
      </w:pPr>
    </w:p>
    <w:p w:rsidR="008053F2" w:rsidRDefault="008053F2" w:rsidP="00410293">
      <w:pPr>
        <w:spacing w:line="360" w:lineRule="auto"/>
        <w:rPr>
          <w:rFonts w:ascii="Arial" w:hAnsi="Arial" w:cs="Arial"/>
          <w:b/>
          <w:lang w:val="en-GB"/>
        </w:rPr>
      </w:pPr>
    </w:p>
    <w:p w:rsidR="001E0027" w:rsidRDefault="00724156" w:rsidP="00410293">
      <w:pPr>
        <w:spacing w:line="360" w:lineRule="auto"/>
        <w:rPr>
          <w:rFonts w:ascii="Arial" w:hAnsi="Arial" w:cs="Arial"/>
          <w:b/>
          <w:lang w:val="en-GB"/>
        </w:rPr>
      </w:pPr>
      <w:r w:rsidRPr="00724156">
        <w:rPr>
          <w:rFonts w:ascii="Arial" w:hAnsi="Arial" w:cs="Arial"/>
          <w:b/>
          <w:lang w:val="en-GB"/>
        </w:rPr>
        <w:lastRenderedPageBreak/>
        <w:t>THEME 2</w:t>
      </w:r>
    </w:p>
    <w:p w:rsidR="00724156" w:rsidRPr="00724156" w:rsidRDefault="00724156" w:rsidP="00410293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This table is for inclusion and exclusion criteria for theme 2 on the Factors influencing the acquisition of SASL with its sub-themes. </w:t>
      </w:r>
      <w:r w:rsidR="008053F2">
        <w:rPr>
          <w:rFonts w:ascii="Arial" w:hAnsi="Arial" w:cs="Arial"/>
          <w:sz w:val="24"/>
          <w:szCs w:val="24"/>
          <w:lang w:val="en-GB"/>
        </w:rPr>
        <w:t>This criterion</w:t>
      </w:r>
      <w:r>
        <w:rPr>
          <w:rFonts w:ascii="Arial" w:hAnsi="Arial" w:cs="Arial"/>
          <w:sz w:val="24"/>
          <w:szCs w:val="24"/>
          <w:lang w:val="en-GB"/>
        </w:rPr>
        <w:t xml:space="preserve"> assisted in including data that was relevant and related to the study and exclude information that was unnecessary.</w:t>
      </w:r>
    </w:p>
    <w:p w:rsidR="001E0027" w:rsidRPr="001E0027" w:rsidRDefault="001E0027" w:rsidP="00410293">
      <w:pPr>
        <w:spacing w:after="6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bookmarkStart w:id="5" w:name="_Toc86324048"/>
      <w:r w:rsidRPr="001E002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Table 4.5: </w:t>
      </w:r>
      <w:r w:rsidRPr="001E0027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Inclusion and exclusion criteria for theme 2 with its sub-themes</w:t>
      </w:r>
      <w:bookmarkEnd w:id="5"/>
    </w:p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9"/>
        <w:gridCol w:w="3008"/>
        <w:gridCol w:w="3009"/>
      </w:tblGrid>
      <w:tr w:rsidR="001E0027" w:rsidRPr="001E0027" w:rsidTr="00490876">
        <w:trPr>
          <w:trHeight w:val="397"/>
        </w:trPr>
        <w:tc>
          <w:tcPr>
            <w:tcW w:w="9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1E0027" w:rsidRPr="001E0027" w:rsidRDefault="001E0027" w:rsidP="00410293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</w:rPr>
            </w:pPr>
            <w:r w:rsidRPr="001E0027">
              <w:rPr>
                <w:rFonts w:cs="Arial"/>
                <w:b/>
                <w:bCs/>
                <w:color w:val="000000" w:themeColor="text1"/>
                <w:szCs w:val="20"/>
              </w:rPr>
              <w:t>Factors influencing the acquisition of South African sign language (SASL)</w:t>
            </w:r>
          </w:p>
        </w:tc>
      </w:tr>
      <w:tr w:rsidR="001E0027" w:rsidRPr="001E0027" w:rsidTr="00490876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1E0027">
              <w:rPr>
                <w:rFonts w:cs="Arial"/>
                <w:b/>
                <w:bCs/>
                <w:color w:val="000000" w:themeColor="text1"/>
                <w:szCs w:val="20"/>
              </w:rPr>
              <w:t>Sub-themes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1E0027">
              <w:rPr>
                <w:rFonts w:cs="Arial"/>
                <w:b/>
                <w:bCs/>
                <w:color w:val="000000" w:themeColor="text1"/>
                <w:szCs w:val="20"/>
              </w:rPr>
              <w:t>Inclusion criteria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1E0027">
              <w:rPr>
                <w:rFonts w:cs="Arial"/>
                <w:b/>
                <w:bCs/>
                <w:color w:val="000000" w:themeColor="text1"/>
                <w:szCs w:val="20"/>
              </w:rPr>
              <w:t>Exclusion criteria</w:t>
            </w:r>
          </w:p>
        </w:tc>
      </w:tr>
      <w:tr w:rsidR="001E0027" w:rsidRPr="001E0027" w:rsidTr="00490876">
        <w:trPr>
          <w:trHeight w:val="283"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2.1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E0027" w:rsidRPr="001E0027" w:rsidTr="00490876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Language and communications barriers</w:t>
            </w:r>
          </w:p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Factors that contribute to language and communication barrier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Factors that do not refer to language and communication barrier</w:t>
            </w:r>
          </w:p>
        </w:tc>
      </w:tr>
      <w:tr w:rsidR="001E0027" w:rsidRPr="001E0027" w:rsidTr="00490876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2.2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E0027" w:rsidRPr="001E0027" w:rsidTr="00490876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Family background of deafness and SASL</w:t>
            </w:r>
          </w:p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Information on family background to deafness and SASL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Information not related to family background with deafness and SASL</w:t>
            </w:r>
          </w:p>
        </w:tc>
      </w:tr>
      <w:tr w:rsidR="001E0027" w:rsidRPr="001E0027" w:rsidTr="00490876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2.3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E0027" w:rsidRPr="001E0027" w:rsidTr="00490876">
        <w:trPr>
          <w:trHeight w:val="283"/>
        </w:trPr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Social interaction using SASL</w:t>
            </w:r>
          </w:p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Information based on social interaction using SASL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Information that does not involve social interaction using SASL</w:t>
            </w:r>
          </w:p>
        </w:tc>
      </w:tr>
    </w:tbl>
    <w:p w:rsidR="001E0027" w:rsidRPr="001E0027" w:rsidRDefault="001E0027" w:rsidP="00410293">
      <w:pPr>
        <w:spacing w:line="360" w:lineRule="auto"/>
        <w:rPr>
          <w:lang w:val="en-GB" w:eastAsia="en-GB"/>
        </w:rPr>
      </w:pPr>
    </w:p>
    <w:p w:rsidR="003B5344" w:rsidRDefault="003B5344" w:rsidP="00410293">
      <w:pPr>
        <w:pStyle w:val="TOC8"/>
        <w:tabs>
          <w:tab w:val="right" w:leader="dot" w:pos="9016"/>
        </w:tabs>
        <w:spacing w:line="360" w:lineRule="auto"/>
        <w:rPr>
          <w:noProof/>
        </w:rPr>
      </w:pPr>
    </w:p>
    <w:p w:rsidR="008053F2" w:rsidRDefault="008053F2" w:rsidP="008053F2">
      <w:pPr>
        <w:rPr>
          <w:lang w:val="en-GB" w:eastAsia="en-GB"/>
        </w:rPr>
      </w:pPr>
    </w:p>
    <w:p w:rsidR="008053F2" w:rsidRDefault="008053F2" w:rsidP="008053F2">
      <w:pPr>
        <w:rPr>
          <w:lang w:val="en-GB" w:eastAsia="en-GB"/>
        </w:rPr>
      </w:pPr>
    </w:p>
    <w:p w:rsidR="008053F2" w:rsidRDefault="008053F2" w:rsidP="008053F2">
      <w:pPr>
        <w:rPr>
          <w:lang w:val="en-GB" w:eastAsia="en-GB"/>
        </w:rPr>
      </w:pPr>
    </w:p>
    <w:p w:rsidR="008053F2" w:rsidRDefault="008053F2" w:rsidP="008053F2">
      <w:pPr>
        <w:rPr>
          <w:lang w:val="en-GB" w:eastAsia="en-GB"/>
        </w:rPr>
      </w:pPr>
    </w:p>
    <w:p w:rsidR="008053F2" w:rsidRDefault="008053F2" w:rsidP="008053F2">
      <w:pPr>
        <w:rPr>
          <w:lang w:val="en-GB" w:eastAsia="en-GB"/>
        </w:rPr>
      </w:pPr>
    </w:p>
    <w:p w:rsidR="008053F2" w:rsidRDefault="008053F2" w:rsidP="008053F2">
      <w:pPr>
        <w:rPr>
          <w:lang w:val="en-GB" w:eastAsia="en-GB"/>
        </w:rPr>
      </w:pPr>
    </w:p>
    <w:p w:rsidR="008053F2" w:rsidRDefault="008053F2" w:rsidP="008053F2">
      <w:pPr>
        <w:rPr>
          <w:lang w:val="en-GB" w:eastAsia="en-GB"/>
        </w:rPr>
      </w:pPr>
    </w:p>
    <w:p w:rsidR="008053F2" w:rsidRDefault="008053F2" w:rsidP="008053F2">
      <w:pPr>
        <w:rPr>
          <w:lang w:val="en-GB" w:eastAsia="en-GB"/>
        </w:rPr>
      </w:pPr>
    </w:p>
    <w:p w:rsidR="008053F2" w:rsidRDefault="008053F2" w:rsidP="008053F2">
      <w:pPr>
        <w:rPr>
          <w:lang w:val="en-GB" w:eastAsia="en-GB"/>
        </w:rPr>
      </w:pPr>
    </w:p>
    <w:p w:rsidR="008053F2" w:rsidRPr="008053F2" w:rsidRDefault="008053F2" w:rsidP="008053F2">
      <w:pPr>
        <w:rPr>
          <w:lang w:val="en-GB" w:eastAsia="en-GB"/>
        </w:rPr>
      </w:pPr>
    </w:p>
    <w:p w:rsidR="008053F2" w:rsidRDefault="008053F2" w:rsidP="00410293">
      <w:pPr>
        <w:spacing w:after="60"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bookmarkStart w:id="6" w:name="_Toc86324049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lastRenderedPageBreak/>
        <w:t>THEME 3</w:t>
      </w:r>
    </w:p>
    <w:p w:rsidR="008053F2" w:rsidRPr="00724156" w:rsidRDefault="008053F2" w:rsidP="008053F2">
      <w:pPr>
        <w:spacing w:after="60"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>This table represents the inclusion and exclusion criteria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for theme 3 of hearing parents' support of their children's use and acquisition of SASL at home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with it sub-themes, on how data wa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s separated in order to discover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relevant and irrelevant data. </w:t>
      </w:r>
    </w:p>
    <w:p w:rsidR="008053F2" w:rsidRDefault="008053F2" w:rsidP="00410293">
      <w:pPr>
        <w:spacing w:after="60"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:rsidR="001E0027" w:rsidRPr="001E0027" w:rsidRDefault="001E0027" w:rsidP="00410293">
      <w:pPr>
        <w:spacing w:after="60"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1E0027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Table 4.6: </w:t>
      </w:r>
      <w:r w:rsidRPr="001E0027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Inclusion and exclusion criteria for theme 3 with its sub-themes</w:t>
      </w:r>
      <w:bookmarkEnd w:id="6"/>
    </w:p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9"/>
        <w:gridCol w:w="3008"/>
        <w:gridCol w:w="3009"/>
      </w:tblGrid>
      <w:tr w:rsidR="001E0027" w:rsidRPr="001E0027" w:rsidTr="00490876">
        <w:trPr>
          <w:trHeight w:val="397"/>
        </w:trPr>
        <w:tc>
          <w:tcPr>
            <w:tcW w:w="9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1E0027" w:rsidRPr="001E0027" w:rsidRDefault="001E0027" w:rsidP="00410293">
            <w:pPr>
              <w:spacing w:line="360" w:lineRule="auto"/>
              <w:jc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1E0027">
              <w:rPr>
                <w:rFonts w:cs="Arial"/>
                <w:b/>
                <w:bCs/>
                <w:color w:val="000000" w:themeColor="text1"/>
                <w:szCs w:val="20"/>
              </w:rPr>
              <w:t>Hearing parents’ support of their children’s use and acquisition of SASL at home</w:t>
            </w:r>
          </w:p>
        </w:tc>
      </w:tr>
      <w:tr w:rsidR="001E0027" w:rsidRPr="001E0027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1E0027">
              <w:rPr>
                <w:rFonts w:cs="Arial"/>
                <w:b/>
                <w:bCs/>
                <w:color w:val="000000" w:themeColor="text1"/>
                <w:szCs w:val="20"/>
              </w:rPr>
              <w:t>Sub-themes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1E0027">
              <w:rPr>
                <w:rFonts w:cs="Arial"/>
                <w:b/>
                <w:bCs/>
                <w:color w:val="000000" w:themeColor="text1"/>
                <w:szCs w:val="20"/>
              </w:rPr>
              <w:t>Inclusion criteria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1E0027">
              <w:rPr>
                <w:rFonts w:cs="Arial"/>
                <w:b/>
                <w:bCs/>
                <w:color w:val="000000" w:themeColor="text1"/>
                <w:szCs w:val="20"/>
              </w:rPr>
              <w:t>Exclusion criteria</w:t>
            </w:r>
          </w:p>
        </w:tc>
      </w:tr>
      <w:tr w:rsidR="001E0027" w:rsidRPr="001E0027" w:rsidTr="00490876">
        <w:trPr>
          <w:trHeight w:val="283"/>
        </w:trPr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3.1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E0027" w:rsidRPr="001E0027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Parents’ training in SASL by the school for the Deaf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Information on parents’ training in SASL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Excluded information not relevant to parents’ training</w:t>
            </w:r>
          </w:p>
        </w:tc>
      </w:tr>
      <w:tr w:rsidR="001E0027" w:rsidRPr="001E0027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3.2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E0027" w:rsidRPr="001E0027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Assisting deaf children with homework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Any information relevant to homework support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Information not relevant to homework</w:t>
            </w:r>
          </w:p>
        </w:tc>
      </w:tr>
      <w:tr w:rsidR="001E0027" w:rsidRPr="001E0027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3.3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E0027" w:rsidRPr="001E0027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Television programmes and interpretation support given by hearing parents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Support provided by hearing parents based on television programmes and interpretation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027" w:rsidRPr="001E0027" w:rsidRDefault="001E0027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027">
              <w:rPr>
                <w:rFonts w:cs="Arial"/>
                <w:color w:val="000000" w:themeColor="text1"/>
                <w:szCs w:val="20"/>
              </w:rPr>
              <w:t>Information not relevant to support on television programmes and interpretation</w:t>
            </w:r>
          </w:p>
        </w:tc>
      </w:tr>
    </w:tbl>
    <w:p w:rsidR="001E0027" w:rsidRDefault="001E0027" w:rsidP="00410293">
      <w:pPr>
        <w:spacing w:line="360" w:lineRule="auto"/>
        <w:rPr>
          <w:lang w:val="en-GB" w:eastAsia="en-GB"/>
        </w:rPr>
      </w:pPr>
    </w:p>
    <w:p w:rsidR="008053F2" w:rsidRDefault="008053F2" w:rsidP="00410293">
      <w:pPr>
        <w:spacing w:line="360" w:lineRule="auto"/>
        <w:rPr>
          <w:lang w:val="en-GB" w:eastAsia="en-GB"/>
        </w:rPr>
      </w:pPr>
    </w:p>
    <w:p w:rsidR="008053F2" w:rsidRDefault="008053F2" w:rsidP="00410293">
      <w:pPr>
        <w:spacing w:line="360" w:lineRule="auto"/>
        <w:rPr>
          <w:lang w:val="en-GB" w:eastAsia="en-GB"/>
        </w:rPr>
      </w:pPr>
    </w:p>
    <w:p w:rsidR="008053F2" w:rsidRDefault="008053F2" w:rsidP="00410293">
      <w:pPr>
        <w:spacing w:line="360" w:lineRule="auto"/>
        <w:rPr>
          <w:lang w:val="en-GB" w:eastAsia="en-GB"/>
        </w:rPr>
      </w:pPr>
    </w:p>
    <w:p w:rsidR="008053F2" w:rsidRDefault="008053F2" w:rsidP="00410293">
      <w:pPr>
        <w:spacing w:line="360" w:lineRule="auto"/>
        <w:rPr>
          <w:lang w:val="en-GB" w:eastAsia="en-GB"/>
        </w:rPr>
      </w:pPr>
    </w:p>
    <w:p w:rsidR="008053F2" w:rsidRDefault="008053F2" w:rsidP="00410293">
      <w:pPr>
        <w:spacing w:line="360" w:lineRule="auto"/>
        <w:rPr>
          <w:lang w:val="en-GB" w:eastAsia="en-GB"/>
        </w:rPr>
      </w:pPr>
    </w:p>
    <w:p w:rsidR="008053F2" w:rsidRDefault="008053F2" w:rsidP="00410293">
      <w:pPr>
        <w:spacing w:line="360" w:lineRule="auto"/>
        <w:rPr>
          <w:lang w:val="en-GB" w:eastAsia="en-GB"/>
        </w:rPr>
      </w:pPr>
    </w:p>
    <w:p w:rsidR="008053F2" w:rsidRDefault="008053F2" w:rsidP="00410293">
      <w:pPr>
        <w:spacing w:line="360" w:lineRule="auto"/>
        <w:rPr>
          <w:lang w:val="en-GB" w:eastAsia="en-GB"/>
        </w:rPr>
      </w:pPr>
    </w:p>
    <w:p w:rsidR="008053F2" w:rsidRDefault="008053F2" w:rsidP="00410293">
      <w:pPr>
        <w:spacing w:line="360" w:lineRule="auto"/>
        <w:rPr>
          <w:lang w:val="en-GB" w:eastAsia="en-GB"/>
        </w:rPr>
      </w:pPr>
    </w:p>
    <w:p w:rsidR="003B5344" w:rsidRDefault="003B5344" w:rsidP="00410293">
      <w:pPr>
        <w:pStyle w:val="TOC8"/>
        <w:tabs>
          <w:tab w:val="right" w:leader="dot" w:pos="9016"/>
        </w:tabs>
        <w:spacing w:line="360" w:lineRule="auto"/>
        <w:rPr>
          <w:rFonts w:asciiTheme="minorHAnsi" w:eastAsiaTheme="minorHAnsi" w:hAnsiTheme="minorHAnsi"/>
          <w:sz w:val="22"/>
        </w:rPr>
      </w:pPr>
    </w:p>
    <w:p w:rsidR="008053F2" w:rsidRDefault="008053F2" w:rsidP="008053F2">
      <w:pPr>
        <w:rPr>
          <w:lang w:val="en-GB" w:eastAsia="en-GB"/>
        </w:rPr>
      </w:pPr>
    </w:p>
    <w:p w:rsidR="008053F2" w:rsidRPr="008053F2" w:rsidRDefault="008053F2" w:rsidP="008053F2">
      <w:pPr>
        <w:rPr>
          <w:lang w:val="en-GB" w:eastAsia="en-GB"/>
        </w:rPr>
      </w:pPr>
    </w:p>
    <w:p w:rsidR="008053F2" w:rsidRDefault="008053F2" w:rsidP="00410293">
      <w:pPr>
        <w:spacing w:after="60"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bookmarkStart w:id="7" w:name="_Toc86324050"/>
      <w:r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lastRenderedPageBreak/>
        <w:t>THEME 4</w:t>
      </w:r>
    </w:p>
    <w:p w:rsidR="008053F2" w:rsidRPr="00724156" w:rsidRDefault="008053F2" w:rsidP="008053F2">
      <w:pPr>
        <w:spacing w:after="60"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>This table represents the inclusion and exclusion criteria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for theme 4 for barriers to the effective learning of SASL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with it sub-themes, on how 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relevant data was separated </w:t>
      </w:r>
      <w:r w:rsidR="005D0933">
        <w:rPr>
          <w:rFonts w:ascii="Arial" w:hAnsi="Arial" w:cs="Arial"/>
          <w:color w:val="000000" w:themeColor="text1"/>
          <w:sz w:val="24"/>
          <w:szCs w:val="24"/>
          <w:lang w:val="en-GB"/>
        </w:rPr>
        <w:t>from irrelevant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data. </w:t>
      </w:r>
    </w:p>
    <w:p w:rsidR="008053F2" w:rsidRDefault="008053F2" w:rsidP="00410293">
      <w:pPr>
        <w:spacing w:after="60" w:line="360" w:lineRule="auto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</w:p>
    <w:p w:rsidR="001E02B1" w:rsidRPr="001E02B1" w:rsidRDefault="001E02B1" w:rsidP="00410293">
      <w:pPr>
        <w:spacing w:after="60" w:line="360" w:lineRule="auto"/>
        <w:rPr>
          <w:rFonts w:ascii="Arial" w:hAnsi="Arial" w:cs="Arial"/>
          <w:bCs/>
          <w:color w:val="000000" w:themeColor="text1"/>
          <w:sz w:val="24"/>
          <w:szCs w:val="24"/>
          <w:lang w:val="en-GB"/>
        </w:rPr>
      </w:pPr>
      <w:r w:rsidRPr="001E02B1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 xml:space="preserve">Table 4.7: </w:t>
      </w:r>
      <w:r w:rsidRPr="001E02B1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Inclusion and exclusion criteria for theme 4 with its sub-themes</w:t>
      </w:r>
      <w:bookmarkEnd w:id="7"/>
    </w:p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9"/>
        <w:gridCol w:w="3008"/>
        <w:gridCol w:w="3009"/>
      </w:tblGrid>
      <w:tr w:rsidR="001E02B1" w:rsidRPr="001E02B1" w:rsidTr="00490876">
        <w:trPr>
          <w:trHeight w:val="397"/>
        </w:trPr>
        <w:tc>
          <w:tcPr>
            <w:tcW w:w="9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1E02B1" w:rsidRPr="001E02B1" w:rsidRDefault="001E02B1" w:rsidP="00410293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1E02B1">
              <w:rPr>
                <w:rFonts w:cs="Arial"/>
                <w:b/>
                <w:bCs/>
                <w:color w:val="000000" w:themeColor="text1"/>
                <w:szCs w:val="20"/>
              </w:rPr>
              <w:t>Barriers to the effective learning of SASL</w:t>
            </w:r>
          </w:p>
        </w:tc>
      </w:tr>
      <w:tr w:rsidR="001E02B1" w:rsidRPr="001E02B1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1E02B1" w:rsidRPr="001E02B1" w:rsidRDefault="001E02B1" w:rsidP="00410293">
            <w:pPr>
              <w:spacing w:line="360" w:lineRule="auto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1E02B1">
              <w:rPr>
                <w:rFonts w:cs="Arial"/>
                <w:b/>
                <w:bCs/>
                <w:color w:val="000000" w:themeColor="text1"/>
                <w:szCs w:val="20"/>
              </w:rPr>
              <w:t>Sub-themes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E02B1" w:rsidRPr="001E02B1" w:rsidRDefault="001E02B1" w:rsidP="00410293">
            <w:pPr>
              <w:spacing w:line="360" w:lineRule="auto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1E02B1">
              <w:rPr>
                <w:rFonts w:cs="Arial"/>
                <w:b/>
                <w:bCs/>
                <w:color w:val="000000" w:themeColor="text1"/>
                <w:szCs w:val="20"/>
              </w:rPr>
              <w:t>Inclusion criteria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1E02B1" w:rsidRPr="001E02B1" w:rsidRDefault="001E02B1" w:rsidP="00410293">
            <w:pPr>
              <w:spacing w:line="360" w:lineRule="auto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1E02B1">
              <w:rPr>
                <w:rFonts w:cs="Arial"/>
                <w:b/>
                <w:bCs/>
                <w:color w:val="000000" w:themeColor="text1"/>
                <w:szCs w:val="20"/>
              </w:rPr>
              <w:t>Exclusion criteria</w:t>
            </w:r>
          </w:p>
        </w:tc>
      </w:tr>
      <w:tr w:rsidR="001E02B1" w:rsidRPr="001E02B1" w:rsidTr="00490876">
        <w:trPr>
          <w:trHeight w:val="283"/>
        </w:trPr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E02B1" w:rsidRPr="001E02B1" w:rsidRDefault="001E02B1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2B1">
              <w:rPr>
                <w:rFonts w:cs="Arial"/>
                <w:color w:val="000000" w:themeColor="text1"/>
                <w:szCs w:val="20"/>
              </w:rPr>
              <w:t>4.1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02B1" w:rsidRPr="001E02B1" w:rsidRDefault="001E02B1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02B1" w:rsidRPr="001E02B1" w:rsidRDefault="001E02B1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E02B1" w:rsidRPr="001E02B1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1E02B1" w:rsidRPr="001E02B1" w:rsidRDefault="001E02B1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2B1">
              <w:rPr>
                <w:rFonts w:cs="Arial"/>
                <w:color w:val="000000" w:themeColor="text1"/>
                <w:szCs w:val="20"/>
              </w:rPr>
              <w:t>Teaching deaf learners without an SASL background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1E02B1" w:rsidRPr="001E02B1" w:rsidRDefault="001E02B1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2B1">
              <w:rPr>
                <w:rFonts w:cs="Arial"/>
                <w:color w:val="000000" w:themeColor="text1"/>
                <w:szCs w:val="20"/>
              </w:rPr>
              <w:t>Information related to deaf learners’ background in SASL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1E02B1" w:rsidRPr="001E02B1" w:rsidRDefault="001E02B1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2B1">
              <w:rPr>
                <w:rFonts w:cs="Arial"/>
                <w:color w:val="000000" w:themeColor="text1"/>
                <w:szCs w:val="20"/>
              </w:rPr>
              <w:t>Information not relevant to deaf learners’ background in SASL</w:t>
            </w:r>
          </w:p>
        </w:tc>
      </w:tr>
      <w:tr w:rsidR="001E02B1" w:rsidRPr="001E02B1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1E02B1" w:rsidRPr="001E02B1" w:rsidRDefault="001E02B1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2B1">
              <w:rPr>
                <w:rFonts w:cs="Arial"/>
                <w:color w:val="000000" w:themeColor="text1"/>
                <w:szCs w:val="20"/>
              </w:rPr>
              <w:t>4.2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2B1" w:rsidRPr="001E02B1" w:rsidRDefault="001E02B1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02B1" w:rsidRPr="001E02B1" w:rsidRDefault="001E02B1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E02B1" w:rsidRPr="001E02B1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1E02B1" w:rsidRPr="001E02B1" w:rsidRDefault="001E02B1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2B1">
              <w:rPr>
                <w:rFonts w:cs="Arial"/>
                <w:color w:val="000000" w:themeColor="text1"/>
                <w:szCs w:val="20"/>
              </w:rPr>
              <w:t>Teachers’ barriers when teaching SASL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2B1" w:rsidRPr="001E02B1" w:rsidRDefault="001E02B1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2B1">
              <w:rPr>
                <w:rFonts w:cs="Arial"/>
                <w:color w:val="000000" w:themeColor="text1"/>
                <w:szCs w:val="20"/>
              </w:rPr>
              <w:t>Information related to teachers’ barriers when teaching SASL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2B1" w:rsidRPr="001E02B1" w:rsidRDefault="001E02B1" w:rsidP="00410293">
            <w:pPr>
              <w:spacing w:line="360" w:lineRule="auto"/>
              <w:rPr>
                <w:rFonts w:cs="Arial"/>
                <w:color w:val="000000" w:themeColor="text1"/>
                <w:szCs w:val="20"/>
              </w:rPr>
            </w:pPr>
            <w:r w:rsidRPr="001E02B1">
              <w:rPr>
                <w:rFonts w:cs="Arial"/>
                <w:color w:val="000000" w:themeColor="text1"/>
                <w:szCs w:val="20"/>
              </w:rPr>
              <w:t>Information not relevant to teachers’ barriers to teaching SASL</w:t>
            </w:r>
          </w:p>
        </w:tc>
      </w:tr>
    </w:tbl>
    <w:p w:rsidR="001E02B1" w:rsidRPr="001E02B1" w:rsidRDefault="001E02B1" w:rsidP="00410293">
      <w:pPr>
        <w:spacing w:line="360" w:lineRule="auto"/>
        <w:rPr>
          <w:lang w:val="en-GB" w:eastAsia="en-GB"/>
        </w:rPr>
      </w:pPr>
    </w:p>
    <w:p w:rsidR="001E02B1" w:rsidRDefault="001E02B1" w:rsidP="00410293">
      <w:pPr>
        <w:pStyle w:val="TOC8"/>
        <w:tabs>
          <w:tab w:val="right" w:leader="dot" w:pos="9016"/>
        </w:tabs>
        <w:spacing w:line="360" w:lineRule="auto"/>
      </w:pPr>
    </w:p>
    <w:p w:rsidR="001E02B1" w:rsidRDefault="001E02B1" w:rsidP="00410293">
      <w:pPr>
        <w:pStyle w:val="TOC8"/>
        <w:tabs>
          <w:tab w:val="right" w:leader="dot" w:pos="9016"/>
        </w:tabs>
        <w:spacing w:line="360" w:lineRule="auto"/>
      </w:pPr>
    </w:p>
    <w:p w:rsidR="005D0933" w:rsidRDefault="005D0933" w:rsidP="00410293">
      <w:pPr>
        <w:pStyle w:val="TOC8"/>
        <w:tabs>
          <w:tab w:val="right" w:leader="dot" w:pos="9016"/>
        </w:tabs>
        <w:spacing w:line="360" w:lineRule="auto"/>
      </w:pPr>
    </w:p>
    <w:p w:rsidR="005D0933" w:rsidRDefault="005D0933" w:rsidP="00410293">
      <w:pPr>
        <w:pStyle w:val="TOC8"/>
        <w:tabs>
          <w:tab w:val="right" w:leader="dot" w:pos="9016"/>
        </w:tabs>
        <w:spacing w:line="360" w:lineRule="auto"/>
      </w:pPr>
    </w:p>
    <w:p w:rsidR="005D0933" w:rsidRDefault="005D0933" w:rsidP="00410293">
      <w:pPr>
        <w:pStyle w:val="TOC8"/>
        <w:tabs>
          <w:tab w:val="right" w:leader="dot" w:pos="9016"/>
        </w:tabs>
        <w:spacing w:line="360" w:lineRule="auto"/>
      </w:pPr>
    </w:p>
    <w:p w:rsidR="005D0933" w:rsidRDefault="005D0933" w:rsidP="00410293">
      <w:pPr>
        <w:pStyle w:val="TOC8"/>
        <w:tabs>
          <w:tab w:val="right" w:leader="dot" w:pos="9016"/>
        </w:tabs>
        <w:spacing w:line="360" w:lineRule="auto"/>
      </w:pPr>
    </w:p>
    <w:p w:rsidR="005D0933" w:rsidRDefault="005D0933" w:rsidP="00410293">
      <w:pPr>
        <w:pStyle w:val="TOC8"/>
        <w:tabs>
          <w:tab w:val="right" w:leader="dot" w:pos="9016"/>
        </w:tabs>
        <w:spacing w:line="360" w:lineRule="auto"/>
      </w:pPr>
    </w:p>
    <w:p w:rsidR="005D0933" w:rsidRDefault="005D0933" w:rsidP="00410293">
      <w:pPr>
        <w:pStyle w:val="TOC8"/>
        <w:tabs>
          <w:tab w:val="right" w:leader="dot" w:pos="9016"/>
        </w:tabs>
        <w:spacing w:line="360" w:lineRule="auto"/>
      </w:pPr>
    </w:p>
    <w:p w:rsidR="005D0933" w:rsidRDefault="005D0933" w:rsidP="00410293">
      <w:pPr>
        <w:pStyle w:val="TOC8"/>
        <w:tabs>
          <w:tab w:val="right" w:leader="dot" w:pos="9016"/>
        </w:tabs>
        <w:spacing w:line="360" w:lineRule="auto"/>
      </w:pPr>
    </w:p>
    <w:p w:rsidR="005D0933" w:rsidRDefault="005D0933" w:rsidP="00410293">
      <w:pPr>
        <w:pStyle w:val="TOC8"/>
        <w:tabs>
          <w:tab w:val="right" w:leader="dot" w:pos="9016"/>
        </w:tabs>
        <w:spacing w:line="360" w:lineRule="auto"/>
      </w:pPr>
    </w:p>
    <w:p w:rsidR="005D0933" w:rsidRDefault="005D0933" w:rsidP="00410293">
      <w:pPr>
        <w:pStyle w:val="TOC8"/>
        <w:tabs>
          <w:tab w:val="right" w:leader="dot" w:pos="9016"/>
        </w:tabs>
        <w:spacing w:line="360" w:lineRule="auto"/>
      </w:pPr>
    </w:p>
    <w:p w:rsidR="005D0933" w:rsidRDefault="005D0933" w:rsidP="00410293">
      <w:pPr>
        <w:pStyle w:val="TOC8"/>
        <w:tabs>
          <w:tab w:val="right" w:leader="dot" w:pos="9016"/>
        </w:tabs>
        <w:spacing w:line="360" w:lineRule="auto"/>
      </w:pPr>
    </w:p>
    <w:p w:rsidR="005D0933" w:rsidRDefault="005D0933" w:rsidP="00410293">
      <w:pPr>
        <w:pStyle w:val="TOC8"/>
        <w:tabs>
          <w:tab w:val="right" w:leader="dot" w:pos="9016"/>
        </w:tabs>
        <w:spacing w:line="360" w:lineRule="auto"/>
      </w:pPr>
    </w:p>
    <w:p w:rsidR="005D0933" w:rsidRDefault="005D0933" w:rsidP="00410293">
      <w:pPr>
        <w:pStyle w:val="TOC8"/>
        <w:tabs>
          <w:tab w:val="right" w:leader="dot" w:pos="9016"/>
        </w:tabs>
        <w:spacing w:line="360" w:lineRule="auto"/>
      </w:pPr>
    </w:p>
    <w:p w:rsidR="003B5344" w:rsidRDefault="005D0933" w:rsidP="00410293">
      <w:pPr>
        <w:pStyle w:val="TOC8"/>
        <w:tabs>
          <w:tab w:val="right" w:leader="dot" w:pos="9016"/>
        </w:tabs>
        <w:spacing w:line="360" w:lineRule="auto"/>
        <w:rPr>
          <w:b/>
          <w:sz w:val="24"/>
          <w:szCs w:val="24"/>
        </w:rPr>
      </w:pPr>
      <w:r w:rsidRPr="005D0933">
        <w:rPr>
          <w:b/>
          <w:sz w:val="24"/>
          <w:szCs w:val="24"/>
        </w:rPr>
        <w:lastRenderedPageBreak/>
        <w:t>THEME 5</w:t>
      </w:r>
    </w:p>
    <w:p w:rsidR="005D0933" w:rsidRPr="00724156" w:rsidRDefault="005D0933" w:rsidP="005D0933">
      <w:pPr>
        <w:spacing w:after="60" w:line="36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>This table represents the inclusion and exclusion criteria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for theme 5 for strategies used to support deaf learners to acquire SASL 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with it sub-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>themes, relevant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data was separated from irrelevant data</w:t>
      </w:r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through this criterion</w:t>
      </w:r>
      <w:bookmarkStart w:id="8" w:name="_GoBack"/>
      <w:bookmarkEnd w:id="8"/>
      <w:r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. </w:t>
      </w:r>
    </w:p>
    <w:p w:rsidR="005D0933" w:rsidRPr="005D0933" w:rsidRDefault="005D0933" w:rsidP="005D0933">
      <w:pPr>
        <w:rPr>
          <w:lang w:val="en-GB" w:eastAsia="en-GB"/>
        </w:rPr>
      </w:pPr>
    </w:p>
    <w:p w:rsidR="00540429" w:rsidRPr="00540429" w:rsidRDefault="003B5344" w:rsidP="00410293">
      <w:pPr>
        <w:pStyle w:val="Table"/>
        <w:spacing w:line="360" w:lineRule="auto"/>
        <w:rPr>
          <w:color w:val="000000" w:themeColor="text1"/>
        </w:rPr>
      </w:pPr>
      <w:r w:rsidRPr="007F05C2">
        <w:rPr>
          <w:color w:val="000000" w:themeColor="text1"/>
          <w:sz w:val="20"/>
          <w:szCs w:val="20"/>
        </w:rPr>
        <w:fldChar w:fldCharType="end"/>
      </w:r>
      <w:bookmarkStart w:id="9" w:name="_Toc86324051"/>
      <w:r w:rsidR="00540429" w:rsidRPr="00540429">
        <w:rPr>
          <w:b w:val="0"/>
          <w:color w:val="000000" w:themeColor="text1"/>
        </w:rPr>
        <w:t xml:space="preserve"> </w:t>
      </w:r>
      <w:r w:rsidR="00540429" w:rsidRPr="00540429">
        <w:rPr>
          <w:color w:val="000000" w:themeColor="text1"/>
        </w:rPr>
        <w:t xml:space="preserve">Table 4.8: </w:t>
      </w:r>
      <w:r w:rsidR="00540429" w:rsidRPr="00540429">
        <w:rPr>
          <w:bCs/>
          <w:color w:val="000000" w:themeColor="text1"/>
        </w:rPr>
        <w:t>Inclusion and exclusion criteria for theme 5 with its sub-themes</w:t>
      </w:r>
      <w:bookmarkEnd w:id="9"/>
    </w:p>
    <w:tbl>
      <w:tblPr>
        <w:tblStyle w:val="TableGrid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09"/>
        <w:gridCol w:w="3008"/>
        <w:gridCol w:w="3009"/>
      </w:tblGrid>
      <w:tr w:rsidR="00540429" w:rsidRPr="00540429" w:rsidTr="00490876">
        <w:trPr>
          <w:trHeight w:val="397"/>
        </w:trPr>
        <w:tc>
          <w:tcPr>
            <w:tcW w:w="9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  <w:vAlign w:val="center"/>
          </w:tcPr>
          <w:p w:rsidR="00540429" w:rsidRPr="00540429" w:rsidRDefault="00540429" w:rsidP="00540429">
            <w:pPr>
              <w:jc w:val="center"/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540429">
              <w:rPr>
                <w:rFonts w:cs="Arial"/>
                <w:b/>
                <w:bCs/>
                <w:color w:val="000000" w:themeColor="text1"/>
                <w:szCs w:val="20"/>
              </w:rPr>
              <w:t>Strategies used to support deaf learners to acquire SASL</w:t>
            </w:r>
          </w:p>
        </w:tc>
      </w:tr>
      <w:tr w:rsidR="00540429" w:rsidRPr="00540429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:rsidR="00540429" w:rsidRPr="00540429" w:rsidRDefault="00540429" w:rsidP="00540429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540429">
              <w:rPr>
                <w:rFonts w:cs="Arial"/>
                <w:b/>
                <w:bCs/>
                <w:color w:val="000000" w:themeColor="text1"/>
                <w:szCs w:val="20"/>
              </w:rPr>
              <w:t>Sub-themes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40429" w:rsidRPr="00540429" w:rsidRDefault="00540429" w:rsidP="00540429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540429">
              <w:rPr>
                <w:rFonts w:cs="Arial"/>
                <w:b/>
                <w:bCs/>
                <w:color w:val="000000" w:themeColor="text1"/>
                <w:szCs w:val="20"/>
              </w:rPr>
              <w:t>Inclusion criteria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40429" w:rsidRPr="00540429" w:rsidRDefault="00540429" w:rsidP="00540429">
            <w:pPr>
              <w:rPr>
                <w:rFonts w:cs="Arial"/>
                <w:b/>
                <w:bCs/>
                <w:color w:val="000000" w:themeColor="text1"/>
                <w:szCs w:val="20"/>
              </w:rPr>
            </w:pPr>
            <w:r w:rsidRPr="00540429">
              <w:rPr>
                <w:rFonts w:cs="Arial"/>
                <w:b/>
                <w:bCs/>
                <w:color w:val="000000" w:themeColor="text1"/>
                <w:szCs w:val="20"/>
              </w:rPr>
              <w:t>Exclusion criteria</w:t>
            </w:r>
          </w:p>
        </w:tc>
      </w:tr>
      <w:tr w:rsidR="00540429" w:rsidRPr="00540429" w:rsidTr="00490876">
        <w:trPr>
          <w:trHeight w:val="283"/>
        </w:trPr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5.1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40429" w:rsidRPr="00540429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The use of visuals and technological devices in teaching deaf learners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Explanation of using visuals and technology devices in teaching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Information on teaching SASL without visuals</w:t>
            </w:r>
          </w:p>
        </w:tc>
      </w:tr>
      <w:tr w:rsidR="00540429" w:rsidRPr="00540429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5.2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40429" w:rsidRPr="00540429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Providing extra bridging classes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Explanation on how extra classes are conducted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What did not refer to extra classes</w:t>
            </w:r>
          </w:p>
        </w:tc>
      </w:tr>
      <w:tr w:rsidR="00540429" w:rsidRPr="00540429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5.3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40429" w:rsidRPr="00540429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Offering expanded opportunities and one-on-one sessions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Information on expanded opportunities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What was not expanded on</w:t>
            </w:r>
          </w:p>
        </w:tc>
      </w:tr>
      <w:tr w:rsidR="00540429" w:rsidRPr="00540429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5.4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40429" w:rsidRPr="00540429" w:rsidTr="00490876">
        <w:trPr>
          <w:trHeight w:val="283"/>
        </w:trPr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The use of total communication according to a child’s level of understanding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Explanation on the use of total communication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429" w:rsidRPr="00540429" w:rsidRDefault="00540429" w:rsidP="00540429">
            <w:pPr>
              <w:rPr>
                <w:rFonts w:cs="Arial"/>
                <w:color w:val="000000" w:themeColor="text1"/>
                <w:szCs w:val="20"/>
              </w:rPr>
            </w:pPr>
            <w:r w:rsidRPr="00540429">
              <w:rPr>
                <w:rFonts w:cs="Arial"/>
                <w:color w:val="000000" w:themeColor="text1"/>
                <w:szCs w:val="20"/>
              </w:rPr>
              <w:t>Information not relevant to total communication</w:t>
            </w:r>
          </w:p>
        </w:tc>
      </w:tr>
    </w:tbl>
    <w:p w:rsidR="00903007" w:rsidRDefault="00903007" w:rsidP="003B5344"/>
    <w:sectPr w:rsidR="00903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44"/>
    <w:rsid w:val="00015500"/>
    <w:rsid w:val="000A6148"/>
    <w:rsid w:val="001E0027"/>
    <w:rsid w:val="001E02B1"/>
    <w:rsid w:val="003B5344"/>
    <w:rsid w:val="00410293"/>
    <w:rsid w:val="0049455F"/>
    <w:rsid w:val="00540429"/>
    <w:rsid w:val="005D0933"/>
    <w:rsid w:val="00724156"/>
    <w:rsid w:val="008053F2"/>
    <w:rsid w:val="00835E54"/>
    <w:rsid w:val="00903007"/>
    <w:rsid w:val="009E1811"/>
    <w:rsid w:val="00A100D9"/>
    <w:rsid w:val="00AB5BF4"/>
    <w:rsid w:val="00B92F13"/>
    <w:rsid w:val="00CD194C"/>
    <w:rsid w:val="00E4681E"/>
    <w:rsid w:val="00EA2EA8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0A6CF2"/>
  <w15:chartTrackingRefBased/>
  <w15:docId w15:val="{55B4154A-9867-4D49-AFF2-4DAF0A8A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344"/>
    <w:rPr>
      <w:color w:val="0563C1" w:themeColor="hyperlink"/>
      <w:u w:val="single"/>
    </w:rPr>
  </w:style>
  <w:style w:type="paragraph" w:customStyle="1" w:styleId="Dedication">
    <w:name w:val="Dedication"/>
    <w:basedOn w:val="Normal"/>
    <w:link w:val="DedicationChar"/>
    <w:qFormat/>
    <w:rsid w:val="003B5344"/>
    <w:pPr>
      <w:spacing w:after="360" w:line="240" w:lineRule="auto"/>
      <w:jc w:val="center"/>
    </w:pPr>
    <w:rPr>
      <w:rFonts w:ascii="Arial" w:hAnsi="Arial" w:cs="Arial"/>
      <w:b/>
      <w:color w:val="70AD47" w:themeColor="accent6"/>
      <w:sz w:val="24"/>
      <w:szCs w:val="24"/>
      <w:lang w:val="en-GB"/>
    </w:rPr>
  </w:style>
  <w:style w:type="character" w:customStyle="1" w:styleId="DedicationChar">
    <w:name w:val="Dedication Char"/>
    <w:basedOn w:val="DefaultParagraphFont"/>
    <w:link w:val="Dedication"/>
    <w:rsid w:val="003B5344"/>
    <w:rPr>
      <w:rFonts w:ascii="Arial" w:hAnsi="Arial" w:cs="Arial"/>
      <w:b/>
      <w:color w:val="70AD47" w:themeColor="accent6"/>
      <w:sz w:val="24"/>
      <w:szCs w:val="24"/>
      <w:lang w:val="en-GB"/>
    </w:rPr>
  </w:style>
  <w:style w:type="paragraph" w:styleId="TOC7">
    <w:name w:val="toc 7"/>
    <w:basedOn w:val="TOC8"/>
    <w:next w:val="Normal"/>
    <w:uiPriority w:val="39"/>
    <w:unhideWhenUsed/>
    <w:qFormat/>
    <w:rsid w:val="003B5344"/>
    <w:pPr>
      <w:tabs>
        <w:tab w:val="right" w:leader="dot" w:pos="9016"/>
      </w:tabs>
    </w:pPr>
  </w:style>
  <w:style w:type="paragraph" w:styleId="TOC8">
    <w:name w:val="toc 8"/>
    <w:basedOn w:val="Normal"/>
    <w:next w:val="Normal"/>
    <w:uiPriority w:val="39"/>
    <w:unhideWhenUsed/>
    <w:qFormat/>
    <w:rsid w:val="003B5344"/>
    <w:pPr>
      <w:spacing w:after="120" w:line="240" w:lineRule="auto"/>
    </w:pPr>
    <w:rPr>
      <w:rFonts w:ascii="Arial" w:eastAsiaTheme="minorEastAsia" w:hAnsi="Arial"/>
      <w:sz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B5344"/>
    <w:pPr>
      <w:ind w:left="720"/>
      <w:contextualSpacing/>
    </w:pPr>
  </w:style>
  <w:style w:type="table" w:styleId="TableGrid">
    <w:name w:val="Table Grid"/>
    <w:basedOn w:val="TableNormal"/>
    <w:uiPriority w:val="39"/>
    <w:rsid w:val="003B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3B5344"/>
    <w:pPr>
      <w:spacing w:after="60" w:line="240" w:lineRule="auto"/>
    </w:pPr>
    <w:rPr>
      <w:rFonts w:ascii="Arial" w:hAnsi="Arial" w:cs="Arial"/>
      <w:b/>
      <w:color w:val="ED7D31" w:themeColor="accent2"/>
      <w:sz w:val="24"/>
      <w:szCs w:val="24"/>
      <w:lang w:val="en-GB"/>
    </w:rPr>
  </w:style>
  <w:style w:type="character" w:customStyle="1" w:styleId="TableChar">
    <w:name w:val="Table Char"/>
    <w:basedOn w:val="DefaultParagraphFont"/>
    <w:link w:val="Table"/>
    <w:rsid w:val="003B5344"/>
    <w:rPr>
      <w:rFonts w:ascii="Arial" w:hAnsi="Arial" w:cs="Arial"/>
      <w:b/>
      <w:color w:val="ED7D31" w:themeColor="accent2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139</cp:revision>
  <dcterms:created xsi:type="dcterms:W3CDTF">2022-07-11T13:58:00Z</dcterms:created>
  <dcterms:modified xsi:type="dcterms:W3CDTF">2022-07-12T10:35:00Z</dcterms:modified>
</cp:coreProperties>
</file>