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97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1855" w:rsidRPr="00F81855" w:rsidTr="00F81855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  <w:b/>
              </w:rPr>
            </w:pPr>
            <w:r w:rsidRPr="00F81855">
              <w:rPr>
                <w:rFonts w:eastAsia="Calibri" w:cs="Arial"/>
                <w:b/>
              </w:rPr>
              <w:t>THEMES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  <w:b/>
              </w:rPr>
            </w:pPr>
            <w:r w:rsidRPr="00F81855">
              <w:rPr>
                <w:rFonts w:eastAsia="Calibri" w:cs="Arial"/>
                <w:b/>
              </w:rPr>
              <w:t>SUB-THEMES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>Reasons for being involved in the programme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1.1  Children’s</w:t>
            </w:r>
            <w:r w:rsidRPr="00F81855">
              <w:rPr>
                <w:rFonts w:eastAsia="Calibri" w:cs="Arial"/>
                <w:szCs w:val="16"/>
              </w:rPr>
              <w:t xml:space="preserve"> </w:t>
            </w:r>
            <w:r w:rsidRPr="00F81855">
              <w:rPr>
                <w:rFonts w:eastAsia="Calibri" w:cs="Arial"/>
              </w:rPr>
              <w:t xml:space="preserve">personal reasons 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1.2  Parental or guardians’ initiative or support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 xml:space="preserve">1.3  Personal decision after being consulted by social workers 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Improved quality of life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 Improved academic performance through academic support 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2.2  Access to health information and services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2.3  Access to social security grants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>Factors influencing child wellbeing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Land and air pollution affects health wellbeing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Child protection in an unsafe living environment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Children have agency to speak out on protecting themselves and others from harm 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Child participation in the programme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4.1  CPs roles in the programme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>4.2  Adults’ perception about child participation in the programme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  <w:r w:rsidRPr="00F81855">
              <w:rPr>
                <w:rFonts w:eastAsia="Calibri" w:cs="Arial"/>
              </w:rPr>
              <w:t xml:space="preserve">4.3  Phases in the programme wherein children participate 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Children’s abilities to make decisions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CPs’ quest for self-assertiveness</w:t>
            </w:r>
          </w:p>
        </w:tc>
      </w:tr>
      <w:tr w:rsidR="00F81855" w:rsidRPr="00F81855" w:rsidTr="00F81855">
        <w:trPr>
          <w:trHeight w:val="624"/>
        </w:trPr>
        <w:tc>
          <w:tcPr>
            <w:tcW w:w="2972" w:type="dxa"/>
            <w:vMerge/>
            <w:shd w:val="clear" w:color="auto" w:fill="auto"/>
            <w:vAlign w:val="center"/>
          </w:tcPr>
          <w:p w:rsidR="00F81855" w:rsidRPr="00F81855" w:rsidRDefault="00F81855" w:rsidP="00F81855">
            <w:pPr>
              <w:spacing w:before="120" w:after="120" w:line="360" w:lineRule="auto"/>
              <w:rPr>
                <w:rFonts w:eastAsia="Calibri" w:cs="Aria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81855" w:rsidRPr="00F81855" w:rsidRDefault="00F81855" w:rsidP="00F81855">
            <w:pPr>
              <w:numPr>
                <w:ilvl w:val="1"/>
                <w:numId w:val="1"/>
              </w:numPr>
              <w:spacing w:before="120" w:line="360" w:lineRule="auto"/>
              <w:contextualSpacing/>
              <w:jc w:val="both"/>
              <w:rPr>
                <w:rFonts w:eastAsia="Calibri" w:cs="Arial"/>
                <w:color w:val="000000"/>
              </w:rPr>
            </w:pPr>
            <w:r w:rsidRPr="00F81855">
              <w:rPr>
                <w:rFonts w:eastAsia="Calibri" w:cs="Arial"/>
                <w:color w:val="000000"/>
              </w:rPr>
              <w:t xml:space="preserve"> Adults’ role in children’s decision-making processes</w:t>
            </w:r>
          </w:p>
        </w:tc>
      </w:tr>
    </w:tbl>
    <w:p w:rsidR="00F81855" w:rsidRPr="00F81855" w:rsidRDefault="00F81855" w:rsidP="00F81855">
      <w:pPr>
        <w:keepNext/>
        <w:spacing w:after="200" w:line="240" w:lineRule="auto"/>
        <w:jc w:val="both"/>
        <w:rPr>
          <w:rFonts w:ascii="Arial" w:eastAsia="Calibri" w:hAnsi="Arial" w:cs="Times New Roman"/>
          <w:b/>
          <w:iCs/>
          <w:color w:val="000000"/>
          <w:sz w:val="24"/>
          <w:szCs w:val="18"/>
          <w:lang w:val="en-ZA"/>
        </w:rPr>
      </w:pPr>
      <w:bookmarkStart w:id="0" w:name="_Ref121756197"/>
      <w:bookmarkStart w:id="1" w:name="_Toc122533508"/>
      <w:r w:rsidRPr="00F81855">
        <w:rPr>
          <w:rFonts w:ascii="Arial" w:eastAsia="Calibri" w:hAnsi="Arial" w:cs="Times New Roman"/>
          <w:b/>
          <w:iCs/>
          <w:color w:val="000000"/>
          <w:sz w:val="24"/>
          <w:szCs w:val="18"/>
          <w:lang w:val="en-ZA"/>
        </w:rPr>
        <w:t xml:space="preserve">Table </w: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begin"/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instrText xml:space="preserve"> STYLEREF 1 \s </w:instrTex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separate"/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t>4</w: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end"/>
      </w:r>
      <w:r w:rsidRPr="00F81855">
        <w:rPr>
          <w:rFonts w:ascii="Arial" w:eastAsia="Calibri" w:hAnsi="Arial" w:cs="Times New Roman"/>
          <w:b/>
          <w:iCs/>
          <w:color w:val="000000"/>
          <w:sz w:val="24"/>
          <w:szCs w:val="18"/>
          <w:lang w:val="en-ZA"/>
        </w:rPr>
        <w:t>.</w: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begin"/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instrText xml:space="preserve"> SEQ Table \* ARABIC \s 1 </w:instrTex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separate"/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t>3</w:t>
      </w:r>
      <w:r w:rsidRPr="00F81855">
        <w:rPr>
          <w:rFonts w:ascii="Arial" w:eastAsia="Calibri" w:hAnsi="Arial" w:cs="Times New Roman"/>
          <w:b/>
          <w:iCs/>
          <w:noProof/>
          <w:color w:val="000000"/>
          <w:sz w:val="24"/>
          <w:szCs w:val="18"/>
          <w:lang w:val="en-ZA"/>
        </w:rPr>
        <w:fldChar w:fldCharType="end"/>
      </w:r>
      <w:bookmarkEnd w:id="0"/>
      <w:r w:rsidRPr="00F81855">
        <w:rPr>
          <w:rFonts w:ascii="Arial" w:eastAsia="Calibri" w:hAnsi="Arial" w:cs="Times New Roman"/>
          <w:b/>
          <w:iCs/>
          <w:color w:val="000000"/>
          <w:sz w:val="24"/>
          <w:szCs w:val="18"/>
          <w:lang w:val="en-ZA"/>
        </w:rPr>
        <w:t>: Themes and sub-themes</w:t>
      </w:r>
      <w:bookmarkEnd w:id="1"/>
    </w:p>
    <w:p w:rsidR="007E75EC" w:rsidRDefault="007E75EC">
      <w:bookmarkStart w:id="2" w:name="_GoBack"/>
      <w:bookmarkEnd w:id="2"/>
    </w:p>
    <w:sectPr w:rsidR="007E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E9A"/>
    <w:multiLevelType w:val="multilevel"/>
    <w:tmpl w:val="F08C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5"/>
    <w:rsid w:val="007E75EC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B2A6-2DD2-4E9A-8B38-EEB8972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85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2023-02-12T08:14:00Z</dcterms:created>
  <dcterms:modified xsi:type="dcterms:W3CDTF">2023-02-12T08:17:00Z</dcterms:modified>
</cp:coreProperties>
</file>